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FEA3B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b w:val="0"/>
          <w:bCs w:val="0"/>
          <w:color w:val="1F2329"/>
          <w:sz w:val="44"/>
          <w:szCs w:val="44"/>
        </w:rPr>
      </w:pPr>
      <w:r>
        <w:rPr>
          <w:rFonts w:hint="eastAsia" w:ascii="方正小标宋简体" w:hAnsi="方正小标宋简体" w:eastAsia="方正小标宋简体" w:cs="方正小标宋简体"/>
          <w:b w:val="0"/>
          <w:bCs w:val="0"/>
          <w:color w:val="1F2329"/>
          <w:sz w:val="44"/>
          <w:szCs w:val="44"/>
        </w:rPr>
        <w:t>中国(河北)自由贸易试验区正定片区</w:t>
      </w:r>
    </w:p>
    <w:p w14:paraId="0B25FA01">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b w:val="0"/>
          <w:bCs w:val="0"/>
          <w:color w:val="1F2329"/>
          <w:sz w:val="44"/>
          <w:szCs w:val="44"/>
        </w:rPr>
      </w:pPr>
      <w:r>
        <w:rPr>
          <w:rFonts w:hint="eastAsia" w:ascii="方正小标宋简体" w:hAnsi="方正小标宋简体" w:eastAsia="方正小标宋简体" w:cs="方正小标宋简体"/>
          <w:b w:val="0"/>
          <w:bCs w:val="0"/>
          <w:color w:val="1F2329"/>
          <w:sz w:val="44"/>
          <w:szCs w:val="44"/>
        </w:rPr>
        <w:t>危险化</w:t>
      </w:r>
      <w:r>
        <w:rPr>
          <w:rFonts w:hint="eastAsia" w:ascii="方正小标宋简体" w:hAnsi="方正小标宋简体" w:eastAsia="方正小标宋简体" w:cs="方正小标宋简体"/>
          <w:b w:val="0"/>
          <w:bCs w:val="0"/>
          <w:color w:val="1F2329"/>
          <w:sz w:val="44"/>
          <w:szCs w:val="44"/>
          <w:lang w:val="en-US" w:eastAsia="zh-CN"/>
        </w:rPr>
        <w:t>学品</w:t>
      </w:r>
      <w:r>
        <w:rPr>
          <w:rFonts w:hint="eastAsia" w:ascii="方正小标宋简体" w:hAnsi="方正小标宋简体" w:eastAsia="方正小标宋简体" w:cs="方正小标宋简体"/>
          <w:b w:val="0"/>
          <w:bCs w:val="0"/>
          <w:color w:val="1F2329"/>
          <w:sz w:val="44"/>
          <w:szCs w:val="44"/>
        </w:rPr>
        <w:t>经营企业安全管理办法</w:t>
      </w:r>
    </w:p>
    <w:p w14:paraId="27863574">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default" w:ascii="方正小标宋简体" w:hAnsi="方正小标宋简体" w:eastAsia="方正小标宋简体" w:cs="方正小标宋简体"/>
          <w:b w:val="0"/>
          <w:bCs w:val="0"/>
          <w:color w:val="1F2329"/>
          <w:sz w:val="44"/>
          <w:szCs w:val="44"/>
          <w:lang w:val="en-US" w:eastAsia="zh-CN"/>
        </w:rPr>
      </w:pPr>
      <w:r>
        <w:rPr>
          <w:rFonts w:hint="eastAsia" w:ascii="方正小标宋简体" w:hAnsi="方正小标宋简体" w:eastAsia="方正小标宋简体" w:cs="方正小标宋简体"/>
          <w:b w:val="0"/>
          <w:bCs w:val="0"/>
          <w:color w:val="1F2329"/>
          <w:sz w:val="44"/>
          <w:szCs w:val="44"/>
        </w:rPr>
        <w:t>（试行）</w:t>
      </w:r>
      <w:r>
        <w:rPr>
          <w:rFonts w:hint="eastAsia" w:ascii="方正小标宋简体" w:hAnsi="方正小标宋简体" w:eastAsia="方正小标宋简体" w:cs="方正小标宋简体"/>
          <w:b w:val="0"/>
          <w:bCs w:val="0"/>
          <w:color w:val="1F2329"/>
          <w:sz w:val="44"/>
          <w:szCs w:val="44"/>
          <w:lang w:eastAsia="zh-CN"/>
        </w:rPr>
        <w:t>（</w:t>
      </w:r>
      <w:r>
        <w:rPr>
          <w:rFonts w:hint="eastAsia" w:ascii="方正小标宋简体" w:hAnsi="方正小标宋简体" w:eastAsia="方正小标宋简体" w:cs="方正小标宋简体"/>
          <w:b w:val="0"/>
          <w:bCs w:val="0"/>
          <w:color w:val="1F2329"/>
          <w:sz w:val="44"/>
          <w:szCs w:val="44"/>
          <w:lang w:val="en-US" w:eastAsia="zh-CN"/>
        </w:rPr>
        <w:t>征求意见稿）</w:t>
      </w:r>
    </w:p>
    <w:p w14:paraId="2355BA51">
      <w:pPr>
        <w:keepNext w:val="0"/>
        <w:keepLines w:val="0"/>
        <w:pageBreakBefore w:val="0"/>
        <w:kinsoku/>
        <w:wordWrap/>
        <w:overflowPunct/>
        <w:topLinePunct w:val="0"/>
        <w:autoSpaceDE/>
        <w:autoSpaceDN/>
        <w:bidi w:val="0"/>
        <w:adjustRightInd/>
        <w:snapToGrid/>
        <w:spacing w:line="560" w:lineRule="exact"/>
        <w:textAlignment w:val="auto"/>
        <w:rPr>
          <w:rFonts w:hint="eastAsia"/>
        </w:rPr>
      </w:pPr>
    </w:p>
    <w:p w14:paraId="26C5196A">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黑体" w:hAnsi="黑体" w:eastAsia="黑体" w:cs="黑体"/>
          <w:b w:val="0"/>
          <w:bCs w:val="0"/>
          <w:color w:val="1F2329"/>
          <w:sz w:val="32"/>
          <w:szCs w:val="32"/>
        </w:rPr>
      </w:pPr>
      <w:r>
        <w:rPr>
          <w:rFonts w:hint="eastAsia" w:ascii="黑体" w:hAnsi="黑体" w:eastAsia="黑体" w:cs="黑体"/>
          <w:b w:val="0"/>
          <w:bCs w:val="0"/>
          <w:color w:val="1F2329"/>
          <w:sz w:val="32"/>
          <w:szCs w:val="32"/>
        </w:rPr>
        <w:t>第一章</w:t>
      </w:r>
      <w:r>
        <w:rPr>
          <w:rFonts w:hint="eastAsia" w:ascii="黑体" w:hAnsi="黑体" w:eastAsia="黑体" w:cs="黑体"/>
          <w:b w:val="0"/>
          <w:bCs w:val="0"/>
          <w:color w:val="1F2329"/>
          <w:sz w:val="32"/>
          <w:szCs w:val="32"/>
          <w:lang w:val="en-US" w:eastAsia="zh-CN"/>
        </w:rPr>
        <w:t xml:space="preserve"> </w:t>
      </w:r>
      <w:r>
        <w:rPr>
          <w:rFonts w:hint="eastAsia" w:ascii="黑体" w:hAnsi="黑体" w:eastAsia="黑体" w:cs="黑体"/>
          <w:b w:val="0"/>
          <w:bCs w:val="0"/>
          <w:color w:val="1F2329"/>
          <w:sz w:val="32"/>
          <w:szCs w:val="32"/>
        </w:rPr>
        <w:t>总则</w:t>
      </w:r>
    </w:p>
    <w:p w14:paraId="7470E1A6">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color w:val="1F2329"/>
          <w:sz w:val="32"/>
          <w:szCs w:val="32"/>
        </w:rPr>
      </w:pPr>
      <w:r>
        <w:rPr>
          <w:rFonts w:hint="eastAsia" w:ascii="黑体" w:hAnsi="黑体" w:eastAsia="黑体" w:cs="黑体"/>
          <w:b w:val="0"/>
          <w:bCs w:val="0"/>
          <w:color w:val="1F2329"/>
          <w:sz w:val="32"/>
          <w:szCs w:val="32"/>
        </w:rPr>
        <w:t>第一条</w:t>
      </w:r>
      <w:r>
        <w:rPr>
          <w:rFonts w:hint="eastAsia" w:ascii="黑体" w:hAnsi="黑体" w:eastAsia="黑体" w:cs="黑体"/>
          <w:b w:val="0"/>
          <w:bCs w:val="0"/>
          <w:color w:val="1F2329"/>
          <w:sz w:val="32"/>
          <w:szCs w:val="32"/>
          <w:lang w:val="en-US" w:eastAsia="zh-CN"/>
        </w:rPr>
        <w:t xml:space="preserve"> </w:t>
      </w:r>
      <w:r>
        <w:rPr>
          <w:rFonts w:hint="eastAsia" w:ascii="黑体" w:hAnsi="黑体" w:eastAsia="黑体" w:cs="黑体"/>
          <w:b w:val="0"/>
          <w:bCs w:val="0"/>
          <w:color w:val="1F2329"/>
          <w:sz w:val="32"/>
          <w:szCs w:val="32"/>
        </w:rPr>
        <w:t>编制目的及依据</w:t>
      </w:r>
    </w:p>
    <w:p w14:paraId="1736C48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sz w:val="32"/>
          <w:szCs w:val="32"/>
        </w:rPr>
      </w:pPr>
      <w:r>
        <w:rPr>
          <w:rFonts w:hint="eastAsia" w:ascii="仿宋_GB2312" w:hAnsi="仿宋_GB2312" w:eastAsia="仿宋_GB2312" w:cs="仿宋_GB2312"/>
          <w:color w:val="1F2329"/>
          <w:kern w:val="0"/>
          <w:sz w:val="32"/>
          <w:szCs w:val="32"/>
          <w:lang w:val="en-US" w:eastAsia="zh-CN" w:bidi="ar"/>
        </w:rPr>
        <w:t>为加强中国(河北)自由贸易试验区正定片区（以下简称“正定片区”）危险化学品经营企业事中事后监管，建立健全危险化学品经营风险防控制度，保障正定片区危险化学品全产业链有序探索和创新，根据《中华人民共和国安全生产法》、《危险化学品安全管理条例》（国务院令第591号）、《危险化学品经营许可证管理办法》（原国家安监总局令第55号，第79号修正）、《国务院关于加强和规范事中事后监管的指导意见》（国发〔2019〕18号）、《河北省安全生产条例》、《河北省应急管理厅关于做好危险化学品经营（无储存）许可告知承诺制改革相关工作的通知》（冀应急危化〔2022〕150号）等法律法规及相关文件要求，制定本办法。</w:t>
      </w:r>
    </w:p>
    <w:p w14:paraId="0B37F51C">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color w:val="1F2329"/>
          <w:sz w:val="32"/>
          <w:szCs w:val="32"/>
        </w:rPr>
      </w:pPr>
      <w:r>
        <w:rPr>
          <w:rFonts w:hint="eastAsia" w:ascii="黑体" w:hAnsi="黑体" w:eastAsia="黑体" w:cs="黑体"/>
          <w:b w:val="0"/>
          <w:bCs w:val="0"/>
          <w:color w:val="1F2329"/>
          <w:sz w:val="32"/>
          <w:szCs w:val="32"/>
        </w:rPr>
        <w:t>第二条</w:t>
      </w:r>
      <w:r>
        <w:rPr>
          <w:rFonts w:hint="eastAsia" w:ascii="黑体" w:hAnsi="黑体" w:eastAsia="黑体" w:cs="黑体"/>
          <w:b w:val="0"/>
          <w:bCs w:val="0"/>
          <w:color w:val="1F2329"/>
          <w:sz w:val="32"/>
          <w:szCs w:val="32"/>
          <w:lang w:val="en-US" w:eastAsia="zh-CN"/>
        </w:rPr>
        <w:t xml:space="preserve"> </w:t>
      </w:r>
      <w:r>
        <w:rPr>
          <w:rFonts w:hint="eastAsia" w:ascii="黑体" w:hAnsi="黑体" w:eastAsia="黑体" w:cs="黑体"/>
          <w:b w:val="0"/>
          <w:bCs w:val="0"/>
          <w:color w:val="1F2329"/>
          <w:sz w:val="32"/>
          <w:szCs w:val="32"/>
        </w:rPr>
        <w:t>办法适用范围</w:t>
      </w:r>
    </w:p>
    <w:p w14:paraId="2F3539B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在正定片区注册登记、具有法人资格的危险化学品经营企业（以下简称“危化品企业”），以无仓储方式从事一般危险化学品和成品油相关经营活动的，适用本办法。易制毒化学品、剧毒化学品、易制爆化学品等经营活动，不适用本办法。</w:t>
      </w:r>
    </w:p>
    <w:p w14:paraId="59985C9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color w:val="1F2329"/>
          <w:sz w:val="32"/>
          <w:szCs w:val="32"/>
        </w:rPr>
      </w:pPr>
      <w:r>
        <w:rPr>
          <w:rFonts w:hint="eastAsia" w:ascii="黑体" w:hAnsi="黑体" w:eastAsia="黑体" w:cs="黑体"/>
          <w:b w:val="0"/>
          <w:bCs w:val="0"/>
          <w:color w:val="1F2329"/>
          <w:sz w:val="32"/>
          <w:szCs w:val="32"/>
        </w:rPr>
        <w:t>第三条</w:t>
      </w:r>
      <w:r>
        <w:rPr>
          <w:rFonts w:hint="eastAsia" w:ascii="黑体" w:hAnsi="黑体" w:eastAsia="黑体" w:cs="黑体"/>
          <w:b w:val="0"/>
          <w:bCs w:val="0"/>
          <w:color w:val="1F2329"/>
          <w:sz w:val="32"/>
          <w:szCs w:val="32"/>
          <w:lang w:val="en-US" w:eastAsia="zh-CN"/>
        </w:rPr>
        <w:t xml:space="preserve"> </w:t>
      </w:r>
      <w:r>
        <w:rPr>
          <w:rFonts w:hint="eastAsia" w:ascii="黑体" w:hAnsi="黑体" w:eastAsia="黑体" w:cs="黑体"/>
          <w:b w:val="0"/>
          <w:bCs w:val="0"/>
          <w:color w:val="1F2329"/>
          <w:sz w:val="32"/>
          <w:szCs w:val="32"/>
        </w:rPr>
        <w:t>总体目标和要求</w:t>
      </w:r>
    </w:p>
    <w:p w14:paraId="5056900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坚持依法监管、放管结合、权责分明、开放包容、审慎探索、创新高效、公平公开的监管原则，推进企业事中事后监管规范化、法治化、科学化，结合正定片区制度创新优势，优化监管服务，推动危险化学品经营产业合规有序发展。</w:t>
      </w:r>
    </w:p>
    <w:p w14:paraId="0E837713">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黑体" w:hAnsi="黑体" w:eastAsia="黑体" w:cs="黑体"/>
          <w:b w:val="0"/>
          <w:bCs w:val="0"/>
          <w:color w:val="1F2329"/>
          <w:sz w:val="32"/>
          <w:szCs w:val="32"/>
        </w:rPr>
      </w:pPr>
      <w:r>
        <w:rPr>
          <w:rFonts w:hint="eastAsia" w:ascii="黑体" w:hAnsi="黑体" w:eastAsia="黑体" w:cs="黑体"/>
          <w:b w:val="0"/>
          <w:bCs w:val="0"/>
          <w:color w:val="1F2329"/>
          <w:sz w:val="32"/>
          <w:szCs w:val="32"/>
        </w:rPr>
        <w:t>第二章</w:t>
      </w:r>
      <w:r>
        <w:rPr>
          <w:rFonts w:hint="eastAsia" w:ascii="黑体" w:hAnsi="黑体" w:eastAsia="黑体" w:cs="黑体"/>
          <w:b w:val="0"/>
          <w:bCs w:val="0"/>
          <w:color w:val="1F2329"/>
          <w:sz w:val="32"/>
          <w:szCs w:val="32"/>
          <w:lang w:val="en-US" w:eastAsia="zh-CN"/>
        </w:rPr>
        <w:t xml:space="preserve"> </w:t>
      </w:r>
      <w:r>
        <w:rPr>
          <w:rFonts w:hint="eastAsia" w:ascii="黑体" w:hAnsi="黑体" w:eastAsia="黑体" w:cs="黑体"/>
          <w:b w:val="0"/>
          <w:bCs w:val="0"/>
          <w:color w:val="1F2329"/>
          <w:sz w:val="32"/>
          <w:szCs w:val="32"/>
        </w:rPr>
        <w:t>许可准入管理</w:t>
      </w:r>
    </w:p>
    <w:p w14:paraId="149A0AE9">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color w:val="1F2329"/>
          <w:sz w:val="32"/>
          <w:szCs w:val="32"/>
        </w:rPr>
      </w:pPr>
      <w:r>
        <w:rPr>
          <w:rFonts w:hint="eastAsia" w:ascii="黑体" w:hAnsi="黑体" w:eastAsia="黑体" w:cs="黑体"/>
          <w:b w:val="0"/>
          <w:bCs w:val="0"/>
          <w:color w:val="1F2329"/>
          <w:sz w:val="32"/>
          <w:szCs w:val="32"/>
        </w:rPr>
        <w:t>第四条</w:t>
      </w:r>
      <w:r>
        <w:rPr>
          <w:rFonts w:hint="eastAsia" w:ascii="黑体" w:hAnsi="黑体" w:eastAsia="黑体" w:cs="黑体"/>
          <w:b w:val="0"/>
          <w:bCs w:val="0"/>
          <w:color w:val="1F2329"/>
          <w:sz w:val="32"/>
          <w:szCs w:val="32"/>
          <w:lang w:val="en-US" w:eastAsia="zh-CN"/>
        </w:rPr>
        <w:t xml:space="preserve"> </w:t>
      </w:r>
      <w:r>
        <w:rPr>
          <w:rFonts w:hint="eastAsia" w:ascii="黑体" w:hAnsi="黑体" w:eastAsia="黑体" w:cs="黑体"/>
          <w:b w:val="0"/>
          <w:bCs w:val="0"/>
          <w:color w:val="1F2329"/>
          <w:sz w:val="32"/>
          <w:szCs w:val="32"/>
        </w:rPr>
        <w:t>审批许可依据</w:t>
      </w:r>
    </w:p>
    <w:p w14:paraId="3D88D44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中国（河北）自由贸易试验区正定片区政务服务管理局、正定片区经济发展局（应急管理局）应当按照《危险化学品经营许可证管理办法》（原国家安监总局令第55号，第79号修正）、《河北省应急管理厅关于做好危险化学品经营（无储存）许可告知承诺制改革相关工作的通知》（冀应急危化〔2022〕150号）等规定办理危险化学品经营许可，优化审批流程、提升审批效能。</w:t>
      </w:r>
    </w:p>
    <w:p w14:paraId="671F8D14">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color w:val="1F2329"/>
          <w:sz w:val="32"/>
          <w:szCs w:val="32"/>
          <w:lang w:val="en-US" w:eastAsia="zh-CN"/>
        </w:rPr>
      </w:pPr>
      <w:r>
        <w:rPr>
          <w:rFonts w:hint="eastAsia" w:ascii="黑体" w:hAnsi="黑体" w:eastAsia="黑体" w:cs="黑体"/>
          <w:b w:val="0"/>
          <w:bCs w:val="0"/>
          <w:color w:val="1F2329"/>
          <w:sz w:val="32"/>
          <w:szCs w:val="32"/>
          <w:lang w:val="en-US" w:eastAsia="zh-CN"/>
        </w:rPr>
        <w:t>第五条 经营场所要求</w:t>
      </w:r>
    </w:p>
    <w:p w14:paraId="59C7FD3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危化品企业应设立实际经营场所，实际经营场所不得设置在工业厂房、住宅性质的场所内，企业经营地址使用协议期限应不短于危险化学品经营许可证有效期。</w:t>
      </w:r>
    </w:p>
    <w:p w14:paraId="3C693CE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危化品企业可使用自有经营场所或租赁具有合法产权的经营场所，也可入驻企业管理平台创建的集聚点或服务中心。</w:t>
      </w:r>
    </w:p>
    <w:p w14:paraId="16D2E4D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color w:val="1F2329"/>
          <w:sz w:val="32"/>
          <w:szCs w:val="32"/>
          <w:lang w:val="en-US" w:eastAsia="zh-CN"/>
        </w:rPr>
      </w:pPr>
      <w:r>
        <w:rPr>
          <w:rFonts w:hint="eastAsia" w:ascii="黑体" w:hAnsi="黑体" w:eastAsia="黑体" w:cs="黑体"/>
          <w:b w:val="0"/>
          <w:bCs w:val="0"/>
          <w:color w:val="1F2329"/>
          <w:sz w:val="32"/>
          <w:szCs w:val="32"/>
          <w:lang w:val="en-US" w:eastAsia="zh-CN"/>
        </w:rPr>
        <w:t>第六条 人员要求</w:t>
      </w:r>
    </w:p>
    <w:p w14:paraId="0B325EC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危化品企业主要负责人和安全生产管理人员，必须经应急管理部门安全生产知识和管理能力考核合格，并取得相应安全资格证书。危化品企业已取得危险化学品经营许可证，主要负责人和安全生产管理人员未按规定取得资格证书的，由应急管理部门依法处理。</w:t>
      </w:r>
    </w:p>
    <w:p w14:paraId="04304B51">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黑体" w:hAnsi="黑体" w:eastAsia="黑体" w:cs="黑体"/>
          <w:b w:val="0"/>
          <w:bCs w:val="0"/>
          <w:color w:val="1F2329"/>
          <w:sz w:val="32"/>
          <w:szCs w:val="32"/>
          <w:lang w:val="en-US" w:eastAsia="zh-CN"/>
        </w:rPr>
      </w:pPr>
      <w:r>
        <w:rPr>
          <w:rFonts w:hint="eastAsia" w:ascii="黑体" w:hAnsi="黑体" w:eastAsia="黑体" w:cs="黑体"/>
          <w:b w:val="0"/>
          <w:bCs w:val="0"/>
          <w:color w:val="1F2329"/>
          <w:sz w:val="32"/>
          <w:szCs w:val="32"/>
          <w:lang w:val="en-US" w:eastAsia="zh-CN"/>
        </w:rPr>
        <w:t>第三章 规范平台管理</w:t>
      </w:r>
    </w:p>
    <w:p w14:paraId="3DAAB05D">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color w:val="1F2329"/>
          <w:sz w:val="32"/>
          <w:szCs w:val="32"/>
          <w:lang w:val="en-US" w:eastAsia="zh-CN"/>
        </w:rPr>
      </w:pPr>
      <w:r>
        <w:rPr>
          <w:rFonts w:hint="eastAsia" w:ascii="黑体" w:hAnsi="黑体" w:eastAsia="黑体" w:cs="黑体"/>
          <w:b w:val="0"/>
          <w:bCs w:val="0"/>
          <w:color w:val="1F2329"/>
          <w:sz w:val="32"/>
          <w:szCs w:val="32"/>
          <w:lang w:val="en-US" w:eastAsia="zh-CN"/>
        </w:rPr>
        <w:t>第七条 平台准入</w:t>
      </w:r>
    </w:p>
    <w:p w14:paraId="3FC6BC6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企业管理平台实行报备制度。企业管理平台注册所在正定片区管理机构严格落实属地管理责任，对企业管理平台进行准入核查，核查合格并推送片区应急管理局，实现信息共享、协同监管。</w:t>
      </w:r>
    </w:p>
    <w:p w14:paraId="152C99AF">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color w:val="1F2329"/>
          <w:sz w:val="32"/>
          <w:szCs w:val="32"/>
          <w:lang w:val="en-US" w:eastAsia="zh-CN"/>
        </w:rPr>
      </w:pPr>
      <w:r>
        <w:rPr>
          <w:rFonts w:hint="eastAsia" w:ascii="黑体" w:hAnsi="黑体" w:eastAsia="黑体" w:cs="黑体"/>
          <w:b w:val="0"/>
          <w:bCs w:val="0"/>
          <w:color w:val="1F2329"/>
          <w:sz w:val="32"/>
          <w:szCs w:val="32"/>
          <w:lang w:val="en-US" w:eastAsia="zh-CN"/>
        </w:rPr>
        <w:t>第八条 平台定位</w:t>
      </w:r>
    </w:p>
    <w:p w14:paraId="3808297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企业管理平台应履行对会员危化品企业的管理责任，协助自贸试验区管理机构、属地应急管理、市场监管等部门开展危险化学品经营企业事中事后监管，落实“放管服”改革要求，为入驻企业提供合规指导、台账管理等配套服务。</w:t>
      </w:r>
    </w:p>
    <w:p w14:paraId="216BBFDF">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color w:val="1F2329"/>
          <w:sz w:val="32"/>
          <w:szCs w:val="32"/>
          <w:lang w:val="en-US" w:eastAsia="zh-CN"/>
        </w:rPr>
      </w:pPr>
      <w:r>
        <w:rPr>
          <w:rFonts w:hint="eastAsia" w:ascii="黑体" w:hAnsi="黑体" w:eastAsia="黑体" w:cs="黑体"/>
          <w:b w:val="0"/>
          <w:bCs w:val="0"/>
          <w:color w:val="1F2329"/>
          <w:sz w:val="32"/>
          <w:szCs w:val="32"/>
          <w:lang w:val="en-US" w:eastAsia="zh-CN"/>
        </w:rPr>
        <w:t>第九条 企业管理平台具备条件</w:t>
      </w:r>
    </w:p>
    <w:p w14:paraId="57B27DA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企业管理平台应规范服务中心建设，服务中心应具备下列条件：（一）设置在相对独立的非住宅性质楼层、单元、楼幢内（工业性质厂房除外），符合正定片区国土空间规划及安全管控要求；（二）总建筑面积应满足入驻企业日常办公及合规管理需求；（三）应设置办公室、洽谈室、会议室和培训室等较完整的基础配套场所、设施，可开展危化品安全管理相关培训、政策宣讲等活动；（四）有具备资质的税务师事务所为线下企业提供财税服务，掌握企业经营动态，具有限制企业开票或限制开具危险化学品类发票的能力，协助税务部门、应急管理部门防范违法违规经营风险；（五）建立企业管理信息系统，对入驻危化品企业信息、经营台账、安全培训、流向登记等进行信息化管理。</w:t>
      </w:r>
    </w:p>
    <w:p w14:paraId="2B181348">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color w:val="1F2329"/>
          <w:sz w:val="32"/>
          <w:szCs w:val="32"/>
          <w:lang w:val="en-US" w:eastAsia="zh-CN"/>
        </w:rPr>
      </w:pPr>
      <w:r>
        <w:rPr>
          <w:rFonts w:hint="eastAsia" w:ascii="黑体" w:hAnsi="黑体" w:eastAsia="黑体" w:cs="黑体"/>
          <w:b w:val="0"/>
          <w:bCs w:val="0"/>
          <w:color w:val="1F2329"/>
          <w:sz w:val="32"/>
          <w:szCs w:val="32"/>
          <w:lang w:val="en-US" w:eastAsia="zh-CN"/>
        </w:rPr>
        <w:t>第十条 平台对企业管理工作</w:t>
      </w:r>
    </w:p>
    <w:p w14:paraId="60E4093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企业管理平台应建立健全危化品企业管理制度，开展准入前企业背景核查，指导危化品企业完善安全管理规章制度和应急预案，建立企业主要负责人和安全管理员安全生产知识和管理能力考核合格证书、危险化学品销售流向登记等台账，引导危化品企业依法依规经营，落实安全生产主体责任。</w:t>
      </w:r>
    </w:p>
    <w:p w14:paraId="226F1F77">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黑体" w:hAnsi="黑体" w:eastAsia="黑体" w:cs="黑体"/>
          <w:b w:val="0"/>
          <w:bCs w:val="0"/>
          <w:color w:val="1F2329"/>
          <w:sz w:val="32"/>
          <w:szCs w:val="32"/>
          <w:lang w:val="en-US" w:eastAsia="zh-CN"/>
        </w:rPr>
      </w:pPr>
      <w:r>
        <w:rPr>
          <w:rFonts w:hint="eastAsia" w:ascii="黑体" w:hAnsi="黑体" w:eastAsia="黑体" w:cs="黑体"/>
          <w:b w:val="0"/>
          <w:bCs w:val="0"/>
          <w:color w:val="1F2329"/>
          <w:sz w:val="32"/>
          <w:szCs w:val="32"/>
          <w:lang w:val="en-US" w:eastAsia="zh-CN"/>
        </w:rPr>
        <w:t>第四章 事中事后监管</w:t>
      </w:r>
    </w:p>
    <w:p w14:paraId="15ACE387">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color w:val="1F2329"/>
          <w:sz w:val="32"/>
          <w:szCs w:val="32"/>
          <w:lang w:val="en-US" w:eastAsia="zh-CN"/>
        </w:rPr>
      </w:pPr>
      <w:r>
        <w:rPr>
          <w:rFonts w:hint="eastAsia" w:ascii="黑体" w:hAnsi="黑体" w:eastAsia="黑体" w:cs="黑体"/>
          <w:b w:val="0"/>
          <w:bCs w:val="0"/>
          <w:color w:val="1F2329"/>
          <w:sz w:val="32"/>
          <w:szCs w:val="32"/>
          <w:lang w:val="en-US" w:eastAsia="zh-CN"/>
        </w:rPr>
        <w:t>第十一条 属地对企业管理</w:t>
      </w:r>
    </w:p>
    <w:p w14:paraId="08F9941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危化品企业注册所在地应急管理部门严格落实属地安全监管责任；开展危化品企业主要负责人（安全管理人员）未取得安全培训合格证书、实际经营地址与注册地址不符、超许可范围和许可有效期经营等相关整治；依法依规开展“双随机、一公开”执法检查。</w:t>
      </w:r>
    </w:p>
    <w:p w14:paraId="37212B07">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color w:val="1F2329"/>
          <w:sz w:val="32"/>
          <w:szCs w:val="32"/>
          <w:lang w:val="en-US" w:eastAsia="zh-CN"/>
        </w:rPr>
      </w:pPr>
      <w:r>
        <w:rPr>
          <w:rFonts w:hint="eastAsia" w:ascii="黑体" w:hAnsi="黑体" w:eastAsia="黑体" w:cs="黑体"/>
          <w:b w:val="0"/>
          <w:bCs w:val="0"/>
          <w:color w:val="1F2329"/>
          <w:sz w:val="32"/>
          <w:szCs w:val="32"/>
          <w:lang w:val="en-US" w:eastAsia="zh-CN"/>
        </w:rPr>
        <w:t>第十二条 属地对平台管理</w:t>
      </w:r>
    </w:p>
    <w:p w14:paraId="37C570F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正定片区管理委员会每半年开展一次企业管理平台能力评估考核，监督企业管理平台有效落实管理责任，联合属地应急管理、市场监管、税务等部门开展联合核查，对管理责任不落实、准入条件不满足的企业管理平台进行约谈、通报，直至停止其平台服务资格，并向社会公示。</w:t>
      </w:r>
    </w:p>
    <w:p w14:paraId="59D6AF2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黑体" w:hAnsi="黑体" w:eastAsia="黑体" w:cs="黑体"/>
          <w:b w:val="0"/>
          <w:bCs w:val="0"/>
          <w:color w:val="1F2329"/>
          <w:sz w:val="32"/>
          <w:szCs w:val="32"/>
          <w:lang w:val="en-US" w:eastAsia="zh-CN"/>
        </w:rPr>
      </w:pPr>
      <w:r>
        <w:rPr>
          <w:rFonts w:hint="eastAsia" w:ascii="黑体" w:hAnsi="黑体" w:eastAsia="黑体" w:cs="黑体"/>
          <w:b w:val="0"/>
          <w:bCs w:val="0"/>
          <w:color w:val="1F2329"/>
          <w:sz w:val="32"/>
          <w:szCs w:val="32"/>
          <w:lang w:val="en-US" w:eastAsia="zh-CN"/>
        </w:rPr>
        <w:t>第十三条 平台对企业管理</w:t>
      </w:r>
    </w:p>
    <w:p w14:paraId="1A0E2D3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企业管理平台引导和管理会员危化品企业严格依法依规经营，协助应急管理部门建立现有危化品企业基本情况数据库，配合开展企业执法监管，定期对危化品企业经营活动开展检查，发现违法违规行为立即报告市场监管、应急、税务等部门，形成监管闭环。</w:t>
      </w:r>
    </w:p>
    <w:p w14:paraId="116F8F6B">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color w:val="1F2329"/>
          <w:sz w:val="32"/>
          <w:szCs w:val="32"/>
          <w:lang w:val="en-US" w:eastAsia="zh-CN"/>
        </w:rPr>
      </w:pPr>
      <w:r>
        <w:rPr>
          <w:rFonts w:hint="eastAsia" w:ascii="黑体" w:hAnsi="黑体" w:eastAsia="黑体" w:cs="黑体"/>
          <w:b w:val="0"/>
          <w:bCs w:val="0"/>
          <w:color w:val="1F2329"/>
          <w:sz w:val="32"/>
          <w:szCs w:val="32"/>
          <w:lang w:val="en-US" w:eastAsia="zh-CN"/>
        </w:rPr>
        <w:t>第十四条 信息化系统应用</w:t>
      </w:r>
    </w:p>
    <w:p w14:paraId="5A2B859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正定片区应急管理局、企业管理平台、危化品企业应做好危险化学品经营安全监管系统和河北省“互联网+安全生产”综合监管信用平台的应用，企业管理平台应当指导危化品企业取得危险化学品经营许可证后，及时在相关信息化系统进行注册登记，在发生实际经营行为后，及时填报危险化学品流向登记信息，实现危险化学品经营全流程可追溯。</w:t>
      </w:r>
    </w:p>
    <w:p w14:paraId="30AA2A82">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color w:val="1F2329"/>
          <w:sz w:val="32"/>
          <w:szCs w:val="32"/>
          <w:lang w:val="en-US" w:eastAsia="zh-CN"/>
        </w:rPr>
      </w:pPr>
      <w:r>
        <w:rPr>
          <w:rFonts w:hint="eastAsia" w:ascii="黑体" w:hAnsi="黑体" w:eastAsia="黑体" w:cs="黑体"/>
          <w:b w:val="0"/>
          <w:bCs w:val="0"/>
          <w:color w:val="1F2329"/>
          <w:sz w:val="32"/>
          <w:szCs w:val="32"/>
          <w:lang w:val="en-US" w:eastAsia="zh-CN"/>
        </w:rPr>
        <w:t>第十五条 依法经营承诺</w:t>
      </w:r>
    </w:p>
    <w:p w14:paraId="485483A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危化品企业应在申报危险化学品经营许可证时，书面承诺仅从事批发无仓储票据式经营，不非法建设危险化学品储存设施，不非法储存危险化学品，不委托无危险化学品运输资质单位进行运输，严格落实安全生产主体责任。危化品企业经营过程中未履行承诺的，监管部门依法予以查处，记入企业信用档案，实施失信惩戒；涉嫌违法犯罪的，依法移交司法机关处理。</w:t>
      </w:r>
    </w:p>
    <w:p w14:paraId="074CE879">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color w:val="1F2329"/>
          <w:sz w:val="32"/>
          <w:szCs w:val="32"/>
          <w:lang w:val="en-US" w:eastAsia="zh-CN"/>
        </w:rPr>
      </w:pPr>
      <w:r>
        <w:rPr>
          <w:rFonts w:hint="eastAsia" w:ascii="黑体" w:hAnsi="黑体" w:eastAsia="黑体" w:cs="黑体"/>
          <w:b w:val="0"/>
          <w:bCs w:val="0"/>
          <w:color w:val="1F2329"/>
          <w:sz w:val="32"/>
          <w:szCs w:val="32"/>
          <w:lang w:val="en-US" w:eastAsia="zh-CN"/>
        </w:rPr>
        <w:t>第十六条 证书撤销</w:t>
      </w:r>
    </w:p>
    <w:p w14:paraId="4A5744C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有下列情形之一的，发证机关应依法撤销危险化学品经营许可证，原则上撤销后一年内不得再次申请：（一）危化品企业申请材料不齐全，采用自贸试验区正定片区否定例外制度容缺办理后容缺材料未能在30日内补充齐全的；（二）危化品企业实际经营地址房屋租赁合同在危险化学品经营许可证有效期内过期失效，且未能在30日内完成整改的；（三）以欺骗、贿赂等不正当手段取得危险化学品经营许可证的。</w:t>
      </w:r>
    </w:p>
    <w:p w14:paraId="1BA4151F">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黑体" w:hAnsi="黑体" w:eastAsia="黑体" w:cs="黑体"/>
          <w:b w:val="0"/>
          <w:bCs w:val="0"/>
          <w:color w:val="1F2329"/>
          <w:sz w:val="32"/>
          <w:szCs w:val="32"/>
          <w:lang w:val="en-US" w:eastAsia="zh-CN"/>
        </w:rPr>
      </w:pPr>
      <w:r>
        <w:rPr>
          <w:rFonts w:hint="eastAsia" w:ascii="黑体" w:hAnsi="黑体" w:eastAsia="黑体" w:cs="黑体"/>
          <w:b w:val="0"/>
          <w:bCs w:val="0"/>
          <w:color w:val="1F2329"/>
          <w:sz w:val="32"/>
          <w:szCs w:val="32"/>
          <w:lang w:val="en-US" w:eastAsia="zh-CN"/>
        </w:rPr>
        <w:t>第五章 附则</w:t>
      </w:r>
    </w:p>
    <w:p w14:paraId="2BEAC3C9">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color w:val="1F2329"/>
          <w:sz w:val="32"/>
          <w:szCs w:val="32"/>
          <w:lang w:val="en-US" w:eastAsia="zh-CN"/>
        </w:rPr>
      </w:pPr>
      <w:r>
        <w:rPr>
          <w:rFonts w:hint="eastAsia" w:ascii="黑体" w:hAnsi="黑体" w:eastAsia="黑体" w:cs="黑体"/>
          <w:b w:val="0"/>
          <w:bCs w:val="0"/>
          <w:color w:val="1F2329"/>
          <w:sz w:val="32"/>
          <w:szCs w:val="32"/>
          <w:lang w:val="en-US" w:eastAsia="zh-CN"/>
        </w:rPr>
        <w:t>第十七条 实际经营场所解释</w:t>
      </w:r>
    </w:p>
    <w:p w14:paraId="6A168ED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本办法所指的危化品企业实际经营场所主要分为：单户类型、服务中心类型两种。单户类型经营场所由危化品企业自行设置（房屋性质为非住宅），</w:t>
      </w:r>
      <w:r>
        <w:rPr>
          <w:rFonts w:hint="eastAsia" w:ascii="仿宋_GB2312" w:hAnsi="仿宋_GB2312" w:eastAsia="仿宋_GB2312" w:cs="仿宋_GB2312"/>
          <w:color w:val="1F2329"/>
          <w:kern w:val="0"/>
          <w:sz w:val="32"/>
          <w:szCs w:val="32"/>
          <w:highlight w:val="none"/>
          <w:lang w:val="en-US" w:eastAsia="zh-CN" w:bidi="ar"/>
        </w:rPr>
        <w:t>经营场所面积应当与经营规模、经营方式相适应；</w:t>
      </w:r>
      <w:r>
        <w:rPr>
          <w:rFonts w:hint="eastAsia" w:ascii="仿宋_GB2312" w:hAnsi="仿宋_GB2312" w:eastAsia="仿宋_GB2312" w:cs="仿宋_GB2312"/>
          <w:color w:val="1F2329"/>
          <w:kern w:val="0"/>
          <w:sz w:val="32"/>
          <w:szCs w:val="32"/>
          <w:lang w:val="en-US" w:eastAsia="zh-CN" w:bidi="ar"/>
        </w:rPr>
        <w:t>服务中心由企业管理平台创建和管理，用于企业集聚式办公。服务中心应具备完整的基础配套服务设施，由企业管理平台统筹，供危化品企业集中办公。监管部门参照河北省、石家庄市相关监管规定对管理平台进行考核，并将服务中心的管理情况纳入考核内容。</w:t>
      </w:r>
    </w:p>
    <w:p w14:paraId="79C712EE">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黑体" w:hAnsi="黑体" w:eastAsia="黑体" w:cs="黑体"/>
          <w:b w:val="0"/>
          <w:bCs w:val="0"/>
          <w:color w:val="1F2329"/>
          <w:sz w:val="32"/>
          <w:szCs w:val="32"/>
          <w:lang w:val="en-US" w:eastAsia="zh-CN"/>
        </w:rPr>
      </w:pPr>
      <w:r>
        <w:rPr>
          <w:rFonts w:hint="eastAsia" w:ascii="黑体" w:hAnsi="黑体" w:eastAsia="黑体" w:cs="黑体"/>
          <w:b w:val="0"/>
          <w:bCs w:val="0"/>
          <w:color w:val="1F2329"/>
          <w:sz w:val="32"/>
          <w:szCs w:val="32"/>
          <w:lang w:val="en-US" w:eastAsia="zh-CN"/>
        </w:rPr>
        <w:t>第十八条 企业管理平台解释</w:t>
      </w:r>
    </w:p>
    <w:p w14:paraId="1BF6A5B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本办法所指的企业管理平台主要指：对入驻危化品企业提供招商服务，并承担对危化品企业的管理责任，协助自贸试验区管理机构、属地监管部门做好安全监管工作的中介性质的企业。</w:t>
      </w:r>
    </w:p>
    <w:p w14:paraId="1674BBB1">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黑体" w:hAnsi="黑体" w:eastAsia="黑体" w:cs="黑体"/>
          <w:b w:val="0"/>
          <w:bCs w:val="0"/>
          <w:color w:val="1F2329"/>
          <w:sz w:val="32"/>
          <w:szCs w:val="32"/>
          <w:lang w:val="en-US" w:eastAsia="zh-CN"/>
        </w:rPr>
      </w:pPr>
      <w:r>
        <w:rPr>
          <w:rFonts w:hint="eastAsia" w:ascii="黑体" w:hAnsi="黑体" w:eastAsia="黑体" w:cs="黑体"/>
          <w:b w:val="0"/>
          <w:bCs w:val="0"/>
          <w:color w:val="1F2329"/>
          <w:sz w:val="32"/>
          <w:szCs w:val="32"/>
          <w:lang w:val="en-US" w:eastAsia="zh-CN"/>
        </w:rPr>
        <w:t>第十九条 其他</w:t>
      </w:r>
    </w:p>
    <w:p w14:paraId="7FC9AE8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本管理办法由正定片区政务服务管理局负责解释，未尽事宜按照国家、河北省相关法律法规及文件规定执行。</w:t>
      </w:r>
    </w:p>
    <w:p w14:paraId="4B1C3BC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本办法自发布之日起试行。</w:t>
      </w:r>
    </w:p>
    <w:p w14:paraId="18104DE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抄送：正定片区应急管理局、正定片区政务服务管理局、石家庄市市场监督管理局正定片区分局、石家庄市税务局综合保税区税务分局，各企业管理平台，正定片区内危险化学品经营企业。</w:t>
      </w:r>
    </w:p>
    <w:p w14:paraId="7AD90C5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p>
    <w:p w14:paraId="71DE246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p>
    <w:p w14:paraId="10B3C179">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_GB2312" w:hAnsi="仿宋_GB2312" w:eastAsia="仿宋_GB2312" w:cs="仿宋_GB2312"/>
          <w:color w:val="1F2329"/>
          <w:kern w:val="0"/>
          <w:sz w:val="32"/>
          <w:szCs w:val="32"/>
          <w:lang w:val="en-US" w:eastAsia="zh-CN" w:bidi="ar"/>
        </w:rPr>
      </w:pPr>
      <w:bookmarkStart w:id="0" w:name="_GoBack"/>
      <w:bookmarkEnd w:id="0"/>
    </w:p>
    <w:p w14:paraId="2912AAB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right"/>
        <w:textAlignment w:val="auto"/>
        <w:rPr>
          <w:rFonts w:hint="default"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印发机关：中国(河北)自由贸易试验区正定片区管理委员会</w:t>
      </w:r>
    </w:p>
    <w:p w14:paraId="363000C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jc w:val="right"/>
        <w:textAlignment w:val="auto"/>
        <w:rPr>
          <w:rFonts w:hint="eastAsia" w:ascii="仿宋_GB2312" w:hAnsi="仿宋_GB2312" w:eastAsia="仿宋_GB2312" w:cs="仿宋_GB2312"/>
          <w:color w:val="1F2329"/>
          <w:kern w:val="0"/>
          <w:sz w:val="32"/>
          <w:szCs w:val="32"/>
          <w:lang w:val="en-US" w:eastAsia="zh-CN" w:bidi="ar"/>
        </w:rPr>
      </w:pPr>
      <w:r>
        <w:rPr>
          <w:rFonts w:hint="eastAsia" w:ascii="仿宋_GB2312" w:hAnsi="仿宋_GB2312" w:eastAsia="仿宋_GB2312" w:cs="仿宋_GB2312"/>
          <w:color w:val="1F2329"/>
          <w:kern w:val="0"/>
          <w:sz w:val="32"/>
          <w:szCs w:val="32"/>
          <w:lang w:val="en-US" w:eastAsia="zh-CN" w:bidi="ar"/>
        </w:rPr>
        <w:t>印发日期：</w:t>
      </w:r>
      <w:r>
        <w:rPr>
          <w:rFonts w:hint="eastAsia" w:ascii="仿宋_GB2312" w:hAnsi="仿宋_GB2312" w:eastAsia="仿宋_GB2312" w:cs="仿宋_GB2312"/>
          <w:color w:val="1F2329"/>
          <w:kern w:val="0"/>
          <w:sz w:val="32"/>
          <w:szCs w:val="32"/>
          <w:u w:val="single"/>
          <w:lang w:val="en-US" w:eastAsia="zh-CN" w:bidi="ar"/>
        </w:rPr>
        <w:t>2026</w:t>
      </w:r>
      <w:r>
        <w:rPr>
          <w:rFonts w:hint="eastAsia" w:ascii="仿宋_GB2312" w:hAnsi="仿宋_GB2312" w:eastAsia="仿宋_GB2312" w:cs="仿宋_GB2312"/>
          <w:color w:val="1F2329"/>
          <w:kern w:val="0"/>
          <w:sz w:val="32"/>
          <w:szCs w:val="32"/>
          <w:lang w:val="en-US" w:eastAsia="zh-CN" w:bidi="ar"/>
        </w:rPr>
        <w:t>年</w:t>
      </w:r>
      <w:r>
        <w:rPr>
          <w:rFonts w:hint="eastAsia" w:ascii="仿宋_GB2312" w:hAnsi="仿宋_GB2312" w:eastAsia="仿宋_GB2312" w:cs="仿宋_GB2312"/>
          <w:color w:val="1F2329"/>
          <w:kern w:val="0"/>
          <w:sz w:val="32"/>
          <w:szCs w:val="32"/>
          <w:u w:val="single"/>
          <w:lang w:val="en-US" w:eastAsia="zh-CN" w:bidi="ar"/>
        </w:rPr>
        <w:t xml:space="preserve"> 4 </w:t>
      </w:r>
      <w:r>
        <w:rPr>
          <w:rFonts w:hint="eastAsia" w:ascii="仿宋_GB2312" w:hAnsi="仿宋_GB2312" w:eastAsia="仿宋_GB2312" w:cs="仿宋_GB2312"/>
          <w:color w:val="1F2329"/>
          <w:kern w:val="0"/>
          <w:sz w:val="32"/>
          <w:szCs w:val="32"/>
          <w:lang w:val="en-US" w:eastAsia="zh-CN" w:bidi="ar"/>
        </w:rPr>
        <w:t>月</w:t>
      </w:r>
      <w:r>
        <w:rPr>
          <w:rFonts w:hint="eastAsia" w:ascii="仿宋_GB2312" w:hAnsi="仿宋_GB2312" w:eastAsia="仿宋_GB2312" w:cs="仿宋_GB2312"/>
          <w:color w:val="1F2329"/>
          <w:kern w:val="0"/>
          <w:sz w:val="32"/>
          <w:szCs w:val="32"/>
          <w:u w:val="single"/>
          <w:lang w:val="en-US" w:eastAsia="zh-CN" w:bidi="ar"/>
        </w:rPr>
        <w:t xml:space="preserve"> 10 </w:t>
      </w:r>
      <w:r>
        <w:rPr>
          <w:rFonts w:hint="eastAsia" w:ascii="仿宋_GB2312" w:hAnsi="仿宋_GB2312" w:eastAsia="仿宋_GB2312" w:cs="仿宋_GB2312"/>
          <w:color w:val="1F2329"/>
          <w:kern w:val="0"/>
          <w:sz w:val="32"/>
          <w:szCs w:val="32"/>
          <w:lang w:val="en-US" w:eastAsia="zh-CN" w:bidi="ar"/>
        </w:rPr>
        <w:t>日</w:t>
      </w:r>
    </w:p>
    <w:p w14:paraId="7634EBBF">
      <w:pPr>
        <w:keepNext w:val="0"/>
        <w:keepLines w:val="0"/>
        <w:pageBreakBefore w:val="0"/>
        <w:kinsoku/>
        <w:wordWrap/>
        <w:overflowPunct/>
        <w:topLinePunct w:val="0"/>
        <w:autoSpaceDE/>
        <w:autoSpaceDN/>
        <w:bidi w:val="0"/>
        <w:adjustRightInd/>
        <w:snapToGrid/>
        <w:spacing w:line="560" w:lineRule="exact"/>
        <w:textAlignment w:val="auto"/>
        <w:rPr>
          <w:sz w:val="32"/>
          <w:szCs w:val="32"/>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A43437"/>
    <w:rsid w:val="1779505E"/>
    <w:rsid w:val="2281075C"/>
    <w:rsid w:val="22D663E7"/>
    <w:rsid w:val="240424FD"/>
    <w:rsid w:val="2DAF32F9"/>
    <w:rsid w:val="2ECE1845"/>
    <w:rsid w:val="36DC0E96"/>
    <w:rsid w:val="3AF91C2D"/>
    <w:rsid w:val="4208733D"/>
    <w:rsid w:val="5521511F"/>
    <w:rsid w:val="627528A0"/>
    <w:rsid w:val="65EB4584"/>
    <w:rsid w:val="66FF3B47"/>
    <w:rsid w:val="7B9144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3075</Words>
  <Characters>3097</Characters>
  <Lines>0</Lines>
  <Paragraphs>0</Paragraphs>
  <TotalTime>20</TotalTime>
  <ScaleCrop>false</ScaleCrop>
  <LinksUpToDate>false</LinksUpToDate>
  <CharactersWithSpaces>3129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2026-02-10T06:31:00Z</dcterms:created>
  <dc:creator>DELL</dc:creator>
  <cp:lastModifiedBy>欢</cp:lastModifiedBy>
  <cp:lastPrinted>2026-04-09T07:52:00Z</cp:lastPrinted>
  <dcterms:modified xsi:type="dcterms:W3CDTF">2026-04-10T08:10:51Z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eyJoZGlkIjoiMjZkMDBiNWVlNmQ3ZjdkNTIwM2FlMDNkMzMxZTY2OTgiLCJ1c2VySWQiOiIyNDczOTE1MzcifQ==</vt:lpwstr>
  </property>
  <property fmtid="{D5CDD505-2E9C-101B-9397-08002B2CF9AE}" pid="4" name="ICV">
    <vt:lpwstr>8765B20ECC76436C934C3F8781E58C7D_13</vt:lpwstr>
  </property>
</Properties>
</file>