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0E56B">
      <w:pPr>
        <w:keepNext w:val="0"/>
        <w:keepLines w:val="0"/>
        <w:pageBreakBefore w:val="0"/>
        <w:widowControl w:val="0"/>
        <w:kinsoku/>
        <w:overflowPunct/>
        <w:topLinePunct w:val="0"/>
        <w:bidi w:val="0"/>
        <w:snapToGrid/>
        <w:spacing w:line="600" w:lineRule="exact"/>
        <w:jc w:val="center"/>
        <w:textAlignment w:val="auto"/>
        <w:rPr>
          <w:rFonts w:hint="eastAsia" w:ascii="宋体" w:hAnsi="宋体" w:cs="宋体"/>
          <w:b/>
          <w:bCs/>
          <w:sz w:val="44"/>
          <w:szCs w:val="44"/>
          <w:lang w:val="en-US" w:eastAsia="zh-CN"/>
        </w:rPr>
      </w:pPr>
    </w:p>
    <w:p w14:paraId="45590A5C">
      <w:pPr>
        <w:keepNext w:val="0"/>
        <w:keepLines w:val="0"/>
        <w:pageBreakBefore w:val="0"/>
        <w:widowControl w:val="0"/>
        <w:kinsoku/>
        <w:overflowPunct/>
        <w:topLinePunct w:val="0"/>
        <w:bidi w:val="0"/>
        <w:snapToGrid/>
        <w:spacing w:line="600" w:lineRule="exact"/>
        <w:jc w:val="center"/>
        <w:textAlignment w:val="auto"/>
        <w:rPr>
          <w:rFonts w:hint="default" w:ascii="宋体" w:hAnsi="宋体" w:eastAsia="宋体" w:cs="宋体"/>
          <w:b/>
          <w:bCs/>
          <w:sz w:val="44"/>
          <w:szCs w:val="44"/>
          <w:lang w:val="en-US" w:eastAsia="zh-CN"/>
        </w:rPr>
      </w:pPr>
      <w:r>
        <w:rPr>
          <w:rFonts w:hint="eastAsia" w:ascii="宋体" w:hAnsi="宋体" w:cs="宋体"/>
          <w:b/>
          <w:bCs/>
          <w:sz w:val="44"/>
          <w:szCs w:val="44"/>
          <w:lang w:val="en-US" w:eastAsia="zh-CN"/>
        </w:rPr>
        <w:t>自贸区正定片区财政局</w:t>
      </w:r>
    </w:p>
    <w:p w14:paraId="520BA09B">
      <w:pPr>
        <w:keepNext w:val="0"/>
        <w:keepLines w:val="0"/>
        <w:pageBreakBefore w:val="0"/>
        <w:widowControl w:val="0"/>
        <w:kinsoku/>
        <w:overflowPunct/>
        <w:topLinePunct w:val="0"/>
        <w:bidi w:val="0"/>
        <w:snapToGrid/>
        <w:spacing w:line="600" w:lineRule="exact"/>
        <w:jc w:val="center"/>
        <w:textAlignment w:val="auto"/>
        <w:rPr>
          <w:rFonts w:hint="eastAsia" w:ascii="仿宋_GB2312" w:hAnsi="仿宋_GB2312" w:eastAsia="仿宋_GB2312" w:cs="仿宋_GB2312"/>
          <w:bCs/>
          <w:sz w:val="32"/>
          <w:szCs w:val="32"/>
          <w:lang w:eastAsia="zh-CN"/>
        </w:rPr>
      </w:pPr>
      <w:r>
        <w:rPr>
          <w:rFonts w:hint="eastAsia" w:ascii="宋体" w:hAnsi="宋体" w:cs="宋体"/>
          <w:b/>
          <w:bCs/>
          <w:sz w:val="44"/>
          <w:szCs w:val="44"/>
        </w:rPr>
        <w:t>关于</w:t>
      </w:r>
      <w:r>
        <w:rPr>
          <w:rFonts w:hint="eastAsia" w:ascii="宋体" w:hAnsi="宋体" w:cs="宋体"/>
          <w:b/>
          <w:bCs/>
          <w:sz w:val="44"/>
          <w:szCs w:val="44"/>
          <w:lang w:val="en-US" w:eastAsia="zh-CN"/>
        </w:rPr>
        <w:t>正定片区2025年财政预算执行情况和2026年政府预算草案</w:t>
      </w:r>
      <w:r>
        <w:rPr>
          <w:rFonts w:hint="eastAsia" w:ascii="宋体" w:hAnsi="宋体" w:cs="宋体"/>
          <w:b/>
          <w:bCs/>
          <w:sz w:val="44"/>
          <w:szCs w:val="44"/>
        </w:rPr>
        <w:t>的</w:t>
      </w:r>
      <w:r>
        <w:rPr>
          <w:rFonts w:hint="eastAsia" w:ascii="宋体" w:hAnsi="宋体" w:cs="宋体"/>
          <w:b/>
          <w:bCs/>
          <w:sz w:val="44"/>
          <w:szCs w:val="44"/>
          <w:lang w:val="en-US" w:eastAsia="zh-CN"/>
        </w:rPr>
        <w:t>报告</w:t>
      </w:r>
    </w:p>
    <w:p w14:paraId="66F7AC3E">
      <w:pPr>
        <w:keepNext w:val="0"/>
        <w:keepLines w:val="0"/>
        <w:pageBreakBefore w:val="0"/>
        <w:widowControl w:val="0"/>
        <w:kinsoku/>
        <w:wordWrap/>
        <w:overflowPunct/>
        <w:topLinePunct w:val="0"/>
        <w:autoSpaceDE w:val="0"/>
        <w:autoSpaceDN w:val="0"/>
        <w:bidi w:val="0"/>
        <w:adjustRightInd/>
        <w:snapToGrid/>
        <w:spacing w:line="580" w:lineRule="exact"/>
        <w:ind w:firstLine="707"/>
        <w:textAlignment w:val="auto"/>
        <w:rPr>
          <w:rFonts w:hint="eastAsia" w:ascii="仿宋" w:hAnsi="仿宋" w:eastAsia="仿宋" w:cs="仿宋"/>
          <w:sz w:val="32"/>
          <w:szCs w:val="32"/>
        </w:rPr>
      </w:pPr>
    </w:p>
    <w:p w14:paraId="299CC82E">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根据预算工作安排，我局对2025年财政预算执行情况进行了梳理，并组织编制了2026年政府预算草案，现将2025年财政预算执行情况和2026年政府预算草案汇报如下:</w:t>
      </w:r>
    </w:p>
    <w:p w14:paraId="1B93231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一、2025年财政预算执行情况</w:t>
      </w:r>
    </w:p>
    <w:p w14:paraId="5A2B54D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3" w:firstLineChars="200"/>
        <w:jc w:val="both"/>
        <w:textAlignment w:val="auto"/>
        <w:outlineLvl w:val="9"/>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（一）一般公共预算执行情况</w:t>
      </w:r>
    </w:p>
    <w:p w14:paraId="4C847BF6">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2025年一般公共预算收入完成700116万元，占调整预算的100.16%，比上年增长83.2%。其中，税收收入完成115786万元，非税收入完成584330万元。</w:t>
      </w:r>
    </w:p>
    <w:p w14:paraId="4B2B4441">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当年收入加上动用稳定调节基金22851万元，加上级返还收入9083万元，加上级专项资金4274万元，加上年结转10456万元，加一般债券收入11000万元，加调入资金19436万元，减上解市资金9233万元，减调出资金44605万元，收入合计723378万元。</w:t>
      </w:r>
    </w:p>
    <w:p w14:paraId="553CF466">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当年一般公共预算支出完成685992万元，占调整预算的97.15%。</w:t>
      </w:r>
    </w:p>
    <w:p w14:paraId="73C7423C">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收支相抵后，结余37504万元，其中，结转下年13512万元，安排预算稳定调解基金23874万元。</w:t>
      </w:r>
    </w:p>
    <w:p w14:paraId="7D5BEC2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（二）政府性基金预算执行情况</w:t>
      </w:r>
    </w:p>
    <w:p w14:paraId="4E3E585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政府性基金收入完成122492万元，占调整预算的100.5%，比上年减少20.19%。当年政府性基金收入，加上年结转收入38604万元，政府专项债券收入106700万元，加上级专款56935万元，加调入资金44605万元，收入合计369336万元。</w:t>
      </w:r>
    </w:p>
    <w:p w14:paraId="6F9A65B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当年政府性基金支出完成262537万元，占调整预算的84.77%，比上年增长67.41%；当年支出加还本支出44000万元，加调出资金19436万元，支出合计325973万元。</w:t>
      </w:r>
    </w:p>
    <w:p w14:paraId="6A85A2B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收支相抵后，结余43363万元，按规定结转下年继续使用43363万元。</w:t>
      </w:r>
    </w:p>
    <w:p w14:paraId="230123E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（三）政府债券使用情况</w:t>
      </w:r>
    </w:p>
    <w:p w14:paraId="11C5292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1.一般债券情况。</w:t>
      </w:r>
      <w:r>
        <w:rPr>
          <w:rFonts w:hint="eastAsia" w:ascii="仿宋" w:hAnsi="仿宋" w:eastAsia="仿宋" w:cs="仿宋"/>
          <w:color w:val="auto"/>
          <w:sz w:val="32"/>
          <w:szCs w:val="32"/>
          <w:highlight w:val="none"/>
          <w:lang w:val="en-US" w:eastAsia="zh-CN"/>
        </w:rPr>
        <w:t>2025年新增一般债务限额11000万元，到位新增一般债券资金11000万元。用于正定新区恒阳路小学3230万元，石家庄正定新区罗家庄路工程（白朴街——太行北大街西辅路）1000万元，石家庄正定新区沁园南路（奥体街-天泽大街）工程370万元，正定新区九年义务教育学校1000万元，石家庄正定新区承泽街（安济路-安居街）工程1500万元，石家庄正定新区安居街（迎旭路-和谐路）工程1100万元，石家庄正定新区罗家庄路工程（白朴街——太行北大街西辅路）1200万元，石家庄正定新区安业街（迎旭路-和谐街）工程1600万元。</w:t>
      </w:r>
    </w:p>
    <w:p w14:paraId="38D97C0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2.专项债券情况。</w:t>
      </w:r>
      <w:r>
        <w:rPr>
          <w:rFonts w:hint="eastAsia" w:ascii="仿宋" w:hAnsi="仿宋" w:eastAsia="仿宋" w:cs="仿宋"/>
          <w:color w:val="auto"/>
          <w:sz w:val="32"/>
          <w:szCs w:val="32"/>
          <w:highlight w:val="none"/>
          <w:lang w:val="en-US" w:eastAsia="zh-CN"/>
        </w:rPr>
        <w:t>新增专项债券再融资22000万元，用于偿还到期政府债券，新增专项债券40600万元，用于正定片区项目建设，新增特殊再融资专项债券19100万元，用于置换棚户区改造债务，新增偿还企业欠款的专项债券25000万元，用于置换偿还科工部门统计的机关和全额事业单位的拖欠工程款。</w:t>
      </w:r>
    </w:p>
    <w:p w14:paraId="26AC882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（四）存量资金安排情况</w:t>
      </w:r>
    </w:p>
    <w:p w14:paraId="6C71378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初存量资金余额1205万元，当年收回存量资金34989万元，安排支出3643万元，结余32551万元。主要支出项目是：城管局农民工工资100万元、城管局库房看管费8万元、人力资源和社会保障局活动服务费3万元、人力资源和社会保障局产业园3D宣传片费10万元、为集团增资560万元、土储土地收储利息40万元、项建工程款2412万元、项建监理费10万元、综保区建设费500万元。</w:t>
      </w:r>
    </w:p>
    <w:p w14:paraId="7827B27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（五）其他需要说明情况</w:t>
      </w:r>
    </w:p>
    <w:p w14:paraId="1EF8FD8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1.上年结转资金使用情况。</w:t>
      </w:r>
      <w:r>
        <w:rPr>
          <w:rFonts w:hint="eastAsia" w:ascii="仿宋" w:hAnsi="仿宋" w:eastAsia="仿宋" w:cs="仿宋"/>
          <w:color w:val="auto"/>
          <w:sz w:val="32"/>
          <w:szCs w:val="32"/>
          <w:highlight w:val="none"/>
          <w:lang w:val="en-US" w:eastAsia="zh-CN"/>
        </w:rPr>
        <w:t>2024年结转一般公共预算10456万元，2025年已按原用途支付7294万元，补充稳定调节基金1385万元，结转2026年1777万元。2024年结转政府性基金预算38604万元，2025年已按原用途支付36493万元，调入一般公共预算补充稳定调节基金2111万元。</w:t>
      </w:r>
    </w:p>
    <w:p w14:paraId="16C0A2F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3" w:firstLineChars="200"/>
        <w:jc w:val="both"/>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2.预备费使用情况。</w:t>
      </w:r>
      <w:r>
        <w:rPr>
          <w:rFonts w:hint="eastAsia" w:ascii="仿宋" w:hAnsi="仿宋" w:eastAsia="仿宋" w:cs="仿宋"/>
          <w:color w:val="auto"/>
          <w:sz w:val="32"/>
          <w:szCs w:val="32"/>
          <w:highlight w:val="none"/>
          <w:lang w:val="en-US" w:eastAsia="zh-CN"/>
        </w:rPr>
        <w:t>2025年年初预算安排预备费4445万元，未动用。</w:t>
      </w:r>
    </w:p>
    <w:p w14:paraId="4574DC3D">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3.超收收入情况。</w:t>
      </w:r>
      <w:r>
        <w:rPr>
          <w:rFonts w:hint="eastAsia" w:ascii="仿宋" w:hAnsi="仿宋" w:eastAsia="仿宋" w:cs="仿宋"/>
          <w:color w:val="auto"/>
          <w:kern w:val="2"/>
          <w:sz w:val="32"/>
          <w:szCs w:val="32"/>
          <w:highlight w:val="none"/>
          <w:lang w:val="en-US" w:eastAsia="zh-CN" w:bidi="ar-SA"/>
        </w:rPr>
        <w:t>一般公共预算较调整后预算超收15641万元，按规定全部补充预算稳定调节基金。政府性基金较调整后预算超收611万元，按规定调入一般公共预算补充稳定调节基金。</w:t>
      </w:r>
    </w:p>
    <w:p w14:paraId="2FA4A066">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textAlignment w:val="auto"/>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4.结余资金使用情况。</w:t>
      </w:r>
      <w:r>
        <w:rPr>
          <w:rFonts w:hint="eastAsia" w:ascii="仿宋" w:hAnsi="仿宋" w:eastAsia="仿宋" w:cs="仿宋"/>
          <w:color w:val="auto"/>
          <w:kern w:val="2"/>
          <w:sz w:val="32"/>
          <w:szCs w:val="32"/>
          <w:highlight w:val="none"/>
          <w:lang w:val="en-US" w:eastAsia="zh-CN" w:bidi="ar-SA"/>
        </w:rPr>
        <w:t>当年一般公共预算结转结余37386万元，补充稳调23874万元，结转下年使用13512万元，已按规定编入2026年预算；政府性基金结余43363万元，按规定结转下年继续使用。</w:t>
      </w:r>
    </w:p>
    <w:p w14:paraId="0A22D4A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5.预算稳定调节基金情况。</w:t>
      </w:r>
      <w:r>
        <w:rPr>
          <w:rFonts w:hint="eastAsia" w:ascii="仿宋" w:hAnsi="仿宋" w:eastAsia="仿宋" w:cs="仿宋"/>
          <w:color w:val="auto"/>
          <w:sz w:val="32"/>
          <w:szCs w:val="32"/>
          <w:highlight w:val="none"/>
          <w:lang w:val="en-US" w:eastAsia="zh-CN"/>
        </w:rPr>
        <w:t>2024年底预算稳定调节基金23907万元,减2025年动用22851万元，加2025年超收收入、结算补助、基金调入等补充稳调23874万元，2025年底预算稳定调节基金为24930万元。</w:t>
      </w:r>
    </w:p>
    <w:p w14:paraId="02F9CD0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楷体_GB2312" w:hAnsi="楷体_GB2312" w:eastAsia="楷体_GB2312" w:cs="楷体_GB2312"/>
          <w:b/>
          <w:bCs/>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二、2026年财政预算草案</w:t>
      </w:r>
    </w:p>
    <w:p w14:paraId="12ED2F4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根据《中华人民共和国预算法》《中华人民共和国预算法实施条例》和有关政策要求，本着依法理财、强化统筹、讲究绩效、保障重点、厉行节约、以收定支的原则，编制了2026年自贸区正定片区预算草案。具体情况汇报如下：</w:t>
      </w:r>
    </w:p>
    <w:p w14:paraId="7CC4FEB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（一）一般公共预算安排情况</w:t>
      </w:r>
    </w:p>
    <w:p w14:paraId="67966E2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一般公共预算收入预计完成600000万元，较上年减少14.3%。其中，税收收入120045万元，非税收入479955万元。</w:t>
      </w:r>
    </w:p>
    <w:p w14:paraId="612AEDC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当年收入加上级税收返还收入9083万元，加调入预算稳定调节基金12000万元，减上解支出9200万元，非专项财力611883万元。</w:t>
      </w:r>
    </w:p>
    <w:p w14:paraId="3BA4ACC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非专项财力加提前下达上级专款收入512万元，加上年结转收入13512万元，财力总计625907万元。按照收支平衡的原则，一般公共预算支出安排625907万元。</w:t>
      </w:r>
    </w:p>
    <w:p w14:paraId="4A61B02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（二）政府性基金预算安排情况</w:t>
      </w:r>
    </w:p>
    <w:p w14:paraId="6132916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政府性基金收入安排198000万元，其中，国有土地使用权出让收入185187万元；国有土地收益基金收入9909万元，农业土地开发资金收入704万元；城市配套费收入1500万元；其他收入700万元。当年收入加上年结余结转资金43364万元，加债务转贷收入51200万元，减债务还本支出51520万元，可用收入241044万元。</w:t>
      </w:r>
    </w:p>
    <w:p w14:paraId="0C84A40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按照收支平衡的原则，政府性基金支出安排241044万元，较上年减少10.51%，主要为城乡社区支出163876万元，其他支出44064万元，债券付息支出33004万元，债务发行费支出100万元。</w:t>
      </w:r>
    </w:p>
    <w:p w14:paraId="14D2C0D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（三）2026年其他情况说明</w:t>
      </w:r>
    </w:p>
    <w:p w14:paraId="6ADAFB6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1.化解政府债务预算安排情况。</w:t>
      </w:r>
      <w:r>
        <w:rPr>
          <w:rFonts w:hint="eastAsia" w:ascii="仿宋" w:hAnsi="仿宋" w:eastAsia="仿宋" w:cs="仿宋"/>
          <w:color w:val="auto"/>
          <w:sz w:val="32"/>
          <w:szCs w:val="32"/>
          <w:highlight w:val="none"/>
          <w:lang w:val="en-US" w:eastAsia="zh-CN"/>
        </w:rPr>
        <w:t>统筹各类资金90341万元，其中，一般公共预算安排5717万元，政府性基金安排33424万元，计划再融资51200万元。安排偿还政府债务支出90341万元，其中，债务本金支出51520万元，债务付息支出38704万元，债务发行费支出117万元。</w:t>
      </w:r>
    </w:p>
    <w:p w14:paraId="0AE766B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2.三公两费预算安排情况。</w:t>
      </w:r>
      <w:r>
        <w:rPr>
          <w:rFonts w:hint="eastAsia" w:ascii="仿宋" w:hAnsi="仿宋" w:eastAsia="仿宋" w:cs="仿宋"/>
          <w:color w:val="auto"/>
          <w:sz w:val="32"/>
          <w:szCs w:val="32"/>
          <w:highlight w:val="none"/>
          <w:lang w:val="en-US" w:eastAsia="zh-CN"/>
        </w:rPr>
        <w:t>2026年正定新区和综合保税区三公两费预算由自贸区正定片区统筹安排。2026年自贸区正定片区“三公两费”133.82万元，较上年减少4.67万元，下降3.37%。其中，各预算部门安排82.64万元，预留待分51.18万元，资金来源全部为一般公共预算收入。具体安排情况如下：</w:t>
      </w:r>
    </w:p>
    <w:p w14:paraId="3E7C98D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因公出国（境）费安排0万元，与上年持平；公车购置费0万元，与上年持平；公车运行费安排83.52万元，较上年下降3.1%；公务接待费安排4.01万元，较上年下降3.1%；会议费24.67万元，较上年下降5.3%；培训费21.63万元，较上年下降3%。</w:t>
      </w:r>
    </w:p>
    <w:p w14:paraId="7424CB3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（四）确保完成预算任务的工作措施</w:t>
      </w:r>
    </w:p>
    <w:p w14:paraId="22D2A9A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我们将积极应对严峻的财政收支形势，认真落实预算管理改革要求，坚持零基预算理念，加强财政资源统筹，优化财政支出结构，强化重大战略任务财力保障，切实做好2026年预算编制工作。</w:t>
      </w:r>
    </w:p>
    <w:p w14:paraId="4E2B9A1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1.加强财政收支统筹。</w:t>
      </w:r>
      <w:r>
        <w:rPr>
          <w:rFonts w:hint="eastAsia" w:ascii="仿宋" w:hAnsi="仿宋" w:eastAsia="仿宋" w:cs="仿宋"/>
          <w:color w:val="auto"/>
          <w:sz w:val="32"/>
          <w:szCs w:val="32"/>
          <w:highlight w:val="none"/>
          <w:lang w:val="en-US" w:eastAsia="zh-CN"/>
        </w:rPr>
        <w:t>加大政府预算统筹力度，将本级收入、上级补助、调入资金、政府债务收入，以及清理盘活的存量资金资产等全部纳入政府预算范围。加强部门预算收入统筹安排，各部门和单位要依法依规将取得的各类收入全部纳入部门或单位预算。强化存量资源统筹使用，盘活财政存量资金，强化资产配置与资产使用、处置的统筹管理。</w:t>
      </w:r>
    </w:p>
    <w:p w14:paraId="5521317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eastAsia" w:ascii="仿宋_GB2312" w:hAnsi="仿宋_GB2312" w:eastAsia="仿宋_GB2312" w:cs="仿宋_GB2312"/>
          <w:b w:val="0"/>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2.规范预算执行管理。</w:t>
      </w:r>
      <w:r>
        <w:rPr>
          <w:rFonts w:hint="eastAsia" w:ascii="仿宋" w:hAnsi="仿宋" w:eastAsia="仿宋" w:cs="仿宋"/>
          <w:color w:val="auto"/>
          <w:sz w:val="32"/>
          <w:szCs w:val="32"/>
          <w:highlight w:val="none"/>
          <w:lang w:val="en-US" w:eastAsia="zh-CN"/>
        </w:rPr>
        <w:t>严格按照本级人代会批准和财政部门批复的预算执行，严禁无预算或超预算支出，持续加强财政支出管理。贯彻落实党政机关习惯过紧日子要求，将艰苦奋斗、勤俭节约作为预算支出安排的基本方针，强化重点支出保障，大力推进民生等关系群众切身利益的事业发展，从紧安排项目支出，从严控制一般性支出和“三公”经费，严格执行开支范围和标准，规范政府购买服务预算管理，严格控制竞争性领域财政投入，严格控制政府性楼堂馆所建设，严格控制和执行资产配置标准。</w:t>
      </w:r>
    </w:p>
    <w:p w14:paraId="5383CF7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3.积极推进绩效管理。</w:t>
      </w:r>
      <w:r>
        <w:rPr>
          <w:rFonts w:hint="eastAsia" w:ascii="仿宋" w:hAnsi="仿宋" w:eastAsia="仿宋" w:cs="仿宋"/>
          <w:color w:val="auto"/>
          <w:sz w:val="32"/>
          <w:szCs w:val="32"/>
          <w:highlight w:val="none"/>
          <w:lang w:val="en-US" w:eastAsia="zh-CN"/>
        </w:rPr>
        <w:t>按照中央、省和市关于加强绩效管理的要求，把政府收支、部门和单位预算全部纳入绩效管理，构建全方位预算绩效管理格局。强化结果导向，从数量、质量、实效、成本和效益等方面，综合衡量政策和项目预算资金使用效果。建立政策和项目动态调整机制，强化评价结果应用，对一些绩效评价差或者无绩效的项目坚决予以削减，切实提高财政资金使用效益。</w:t>
      </w:r>
    </w:p>
    <w:p w14:paraId="421E818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4.防范化解财政风险。</w:t>
      </w:r>
      <w:r>
        <w:rPr>
          <w:rFonts w:hint="eastAsia" w:ascii="仿宋" w:hAnsi="仿宋" w:eastAsia="仿宋" w:cs="仿宋"/>
          <w:color w:val="auto"/>
          <w:sz w:val="32"/>
          <w:szCs w:val="32"/>
          <w:highlight w:val="none"/>
          <w:lang w:val="en-US" w:eastAsia="zh-CN"/>
        </w:rPr>
        <w:t>一是强化“三保”意识，增强“三保”能力，把“三保”摆在财政工作的最优先位置，预算足额安排、不留缺口，筑牢兜实基层“三保”；二是严格落实既定化债举措，将政府债务还本付息纳入预算管理，确保足额及时偿还。完善防范化解隐形债务风险长效机制，加大存量隐性债务化解力度，有效防范化解债务风险。</w:t>
      </w:r>
    </w:p>
    <w:p w14:paraId="578E87E2">
      <w:pPr>
        <w:wordWrap w:val="0"/>
        <w:adjustRightInd w:val="0"/>
        <w:snapToGrid w:val="0"/>
        <w:spacing w:line="560" w:lineRule="exact"/>
        <w:ind w:firstLine="640" w:firstLineChars="200"/>
        <w:jc w:val="right"/>
        <w:outlineLvl w:val="1"/>
        <w:rPr>
          <w:rFonts w:hint="eastAsia"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 xml:space="preserve">            </w:t>
      </w:r>
    </w:p>
    <w:p w14:paraId="2AD817A4">
      <w:pPr>
        <w:wordWrap w:val="0"/>
        <w:adjustRightInd w:val="0"/>
        <w:snapToGrid w:val="0"/>
        <w:spacing w:line="560" w:lineRule="exact"/>
        <w:jc w:val="both"/>
        <w:outlineLvl w:val="1"/>
        <w:rPr>
          <w:rFonts w:hint="default"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 xml:space="preserve">   </w:t>
      </w:r>
    </w:p>
    <w:p w14:paraId="17332B0C">
      <w:pPr>
        <w:ind w:firstLine="5760" w:firstLineChars="1800"/>
        <w:rPr>
          <w:rFonts w:hint="default" w:ascii="仿宋_GB2312" w:hAnsi="仿宋_GB2312" w:eastAsia="仿宋_GB2312" w:cs="仿宋_GB2312"/>
          <w:sz w:val="32"/>
          <w:highlight w:val="none"/>
          <w:lang w:val="en-US" w:eastAsia="zh-CN"/>
        </w:rPr>
      </w:pPr>
      <w:r>
        <w:rPr>
          <w:rFonts w:hint="eastAsia" w:ascii="仿宋" w:hAnsi="仿宋" w:eastAsia="仿宋" w:cs="仿宋"/>
          <w:sz w:val="32"/>
          <w:szCs w:val="32"/>
          <w:lang w:val="en-US" w:eastAsia="zh-CN"/>
        </w:rPr>
        <w:t xml:space="preserve">2026年1月26日 </w:t>
      </w:r>
      <w:r>
        <w:rPr>
          <w:rFonts w:hint="eastAsia" w:ascii="仿宋_GB2312" w:hAnsi="仿宋_GB2312" w:eastAsia="仿宋_GB2312" w:cs="仿宋_GB2312"/>
          <w:sz w:val="32"/>
          <w:highlight w:val="none"/>
          <w:lang w:val="en-US" w:eastAsia="zh-CN"/>
        </w:rPr>
        <w:t xml:space="preserve">    </w:t>
      </w:r>
    </w:p>
    <w:sectPr>
      <w:headerReference r:id="rId3" w:type="default"/>
      <w:footerReference r:id="rId4" w:type="default"/>
      <w:footerReference r:id="rId5" w:type="even"/>
      <w:pgSz w:w="11906" w:h="16838"/>
      <w:pgMar w:top="2098" w:right="1474" w:bottom="147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4727D">
    <w:pPr>
      <w:pStyle w:val="5"/>
      <w:jc w:val="right"/>
      <w:rPr>
        <w:rFonts w:ascii="仿宋_GB2312" w:eastAsia="仿宋_GB2312"/>
        <w:sz w:val="28"/>
        <w:szCs w:val="2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D5C457">
                          <w:pPr>
                            <w:pStyle w:val="5"/>
                            <w:jc w:val="right"/>
                          </w:pPr>
                          <w:r>
                            <w:rPr>
                              <w:rFonts w:ascii="仿宋_GB2312" w:eastAsia="仿宋_GB2312"/>
                              <w:sz w:val="28"/>
                              <w:szCs w:val="28"/>
                            </w:rPr>
                            <w:t xml:space="preserve">- </w:t>
                          </w:r>
                          <w:r>
                            <w:rPr>
                              <w:rFonts w:ascii="仿宋_GB2312" w:eastAsia="仿宋_GB2312"/>
                              <w:sz w:val="28"/>
                              <w:szCs w:val="28"/>
                            </w:rPr>
                            <w:fldChar w:fldCharType="begin"/>
                          </w:r>
                          <w:r>
                            <w:rPr>
                              <w:rFonts w:ascii="仿宋_GB2312" w:eastAsia="仿宋_GB2312"/>
                              <w:sz w:val="28"/>
                              <w:szCs w:val="28"/>
                            </w:rPr>
                            <w:instrText xml:space="preserve"> PAGE </w:instrText>
                          </w:r>
                          <w:r>
                            <w:rPr>
                              <w:rFonts w:ascii="仿宋_GB2312" w:eastAsia="仿宋_GB2312"/>
                              <w:sz w:val="28"/>
                              <w:szCs w:val="28"/>
                            </w:rPr>
                            <w:fldChar w:fldCharType="separate"/>
                          </w:r>
                          <w:r>
                            <w:rPr>
                              <w:rFonts w:ascii="仿宋_GB2312" w:eastAsia="仿宋_GB2312"/>
                              <w:sz w:val="28"/>
                              <w:szCs w:val="28"/>
                            </w:rPr>
                            <w:t>1</w:t>
                          </w:r>
                          <w:r>
                            <w:rPr>
                              <w:rFonts w:ascii="仿宋_GB2312" w:eastAsia="仿宋_GB2312"/>
                              <w:sz w:val="28"/>
                              <w:szCs w:val="28"/>
                            </w:rPr>
                            <w:fldChar w:fldCharType="end"/>
                          </w:r>
                          <w:r>
                            <w:rPr>
                              <w:rFonts w:ascii="仿宋_GB2312" w:eastAsia="仿宋_GB2312"/>
                              <w:sz w:val="28"/>
                              <w:szCs w:val="28"/>
                            </w:rPr>
                            <w:t xml:space="preserve"> -</w:t>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WH/vPLAQAAnAMAAA4AAAAAAAAAAQAgAAAAHgEAAGRycy9lMm9E&#10;b2MueG1sUEsFBgAAAAAGAAYAWQEAAFsFAAAAAA==&#10;">
              <v:fill on="f" focussize="0,0"/>
              <v:stroke on="f"/>
              <v:imagedata o:title=""/>
              <o:lock v:ext="edit" aspectratio="f"/>
              <v:textbox inset="0mm,0mm,0mm,0mm" style="mso-fit-shape-to-text:t;">
                <w:txbxContent>
                  <w:p w14:paraId="2ED5C457">
                    <w:pPr>
                      <w:pStyle w:val="5"/>
                      <w:jc w:val="right"/>
                    </w:pPr>
                    <w:r>
                      <w:rPr>
                        <w:rFonts w:ascii="仿宋_GB2312" w:eastAsia="仿宋_GB2312"/>
                        <w:sz w:val="28"/>
                        <w:szCs w:val="28"/>
                      </w:rPr>
                      <w:t xml:space="preserve">- </w:t>
                    </w:r>
                    <w:r>
                      <w:rPr>
                        <w:rFonts w:ascii="仿宋_GB2312" w:eastAsia="仿宋_GB2312"/>
                        <w:sz w:val="28"/>
                        <w:szCs w:val="28"/>
                      </w:rPr>
                      <w:fldChar w:fldCharType="begin"/>
                    </w:r>
                    <w:r>
                      <w:rPr>
                        <w:rFonts w:ascii="仿宋_GB2312" w:eastAsia="仿宋_GB2312"/>
                        <w:sz w:val="28"/>
                        <w:szCs w:val="28"/>
                      </w:rPr>
                      <w:instrText xml:space="preserve"> PAGE </w:instrText>
                    </w:r>
                    <w:r>
                      <w:rPr>
                        <w:rFonts w:ascii="仿宋_GB2312" w:eastAsia="仿宋_GB2312"/>
                        <w:sz w:val="28"/>
                        <w:szCs w:val="28"/>
                      </w:rPr>
                      <w:fldChar w:fldCharType="separate"/>
                    </w:r>
                    <w:r>
                      <w:rPr>
                        <w:rFonts w:ascii="仿宋_GB2312" w:eastAsia="仿宋_GB2312"/>
                        <w:sz w:val="28"/>
                        <w:szCs w:val="28"/>
                      </w:rPr>
                      <w:t>1</w:t>
                    </w:r>
                    <w:r>
                      <w:rPr>
                        <w:rFonts w:ascii="仿宋_GB2312" w:eastAsia="仿宋_GB2312"/>
                        <w:sz w:val="28"/>
                        <w:szCs w:val="28"/>
                      </w:rPr>
                      <w:fldChar w:fldCharType="end"/>
                    </w:r>
                    <w:r>
                      <w:rPr>
                        <w:rFonts w:ascii="仿宋_GB2312" w:eastAsia="仿宋_GB2312"/>
                        <w:sz w:val="28"/>
                        <w:szCs w:val="28"/>
                      </w:rPr>
                      <w:t xml:space="preserve"> -</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35255" cy="325755"/>
              <wp:effectExtent l="0" t="0" r="0" b="0"/>
              <wp:wrapNone/>
              <wp:docPr id="1" name="Quad Arrow 3073"/>
              <wp:cNvGraphicFramePr/>
              <a:graphic xmlns:a="http://schemas.openxmlformats.org/drawingml/2006/main">
                <a:graphicData uri="http://schemas.microsoft.com/office/word/2010/wordprocessingShape">
                  <wps:wsp>
                    <wps:cNvSpPr txBox="1"/>
                    <wps:spPr>
                      <a:xfrm>
                        <a:off x="0" y="0"/>
                        <a:ext cx="135255" cy="325755"/>
                      </a:xfrm>
                      <a:prstGeom prst="rect">
                        <a:avLst/>
                      </a:prstGeom>
                      <a:noFill/>
                      <a:ln>
                        <a:noFill/>
                      </a:ln>
                      <a:effectLst/>
                    </wps:spPr>
                    <wps:txbx>
                      <w:txbxContent>
                        <w:p w14:paraId="3542C4F4">
                          <w:pPr>
                            <w:snapToGrid w:val="0"/>
                            <w:rPr>
                              <w:sz w:val="18"/>
                              <w:szCs w:val="18"/>
                            </w:rPr>
                          </w:pPr>
                        </w:p>
                      </w:txbxContent>
                    </wps:txbx>
                    <wps:bodyPr wrap="none" lIns="0" tIns="0" rIns="0" bIns="0" upright="1">
                      <a:spAutoFit/>
                    </wps:bodyPr>
                  </wps:wsp>
                </a:graphicData>
              </a:graphic>
            </wp:anchor>
          </w:drawing>
        </mc:Choice>
        <mc:Fallback>
          <w:pict>
            <v:shape id="Quad Arrow 3073" o:spid="_x0000_s1026" o:spt="202" type="#_x0000_t202" style="position:absolute;left:0pt;margin-top:0pt;height:25.65pt;width:10.65pt;mso-position-horizontal:center;mso-position-horizontal-relative:margin;mso-wrap-style:none;z-index:251659264;mso-width-relative:page;mso-height-relative:page;" filled="f" stroked="f" coordsize="21600,21600" o:gfxdata="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kHZzY0QAAAAMBAAAPAAAAAAAAAAEAIAAAACIAAABkcnMvZG93bnJldi54&#10;bWxQSwECFAAUAAAACACHTuJAwC1wIsgBAACpAwAADgAAAAAAAAABACAAAAAgAQAAZHJzL2Uyb0Rv&#10;Yy54bWxQSwUGAAAAAAYABgBZAQAAWgUAAAAA&#10;">
              <v:fill on="f" focussize="0,0"/>
              <v:stroke on="f"/>
              <v:imagedata o:title=""/>
              <o:lock v:ext="edit" aspectratio="f"/>
              <v:textbox inset="0mm,0mm,0mm,0mm" style="mso-fit-shape-to-text:t;">
                <w:txbxContent>
                  <w:p w14:paraId="3542C4F4">
                    <w:pPr>
                      <w:snapToGrid w:val="0"/>
                      <w:rPr>
                        <w:sz w:val="18"/>
                        <w:szCs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38A59">
    <w:pPr>
      <w:pStyle w:val="5"/>
      <w:rPr>
        <w:rFonts w:ascii="仿宋_GB2312" w:eastAsia="仿宋_GB2312"/>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1CCB81">
                          <w:pPr>
                            <w:pStyle w:val="5"/>
                          </w:pPr>
                          <w:r>
                            <w:rPr>
                              <w:rFonts w:ascii="仿宋_GB2312" w:eastAsia="仿宋_GB2312"/>
                              <w:sz w:val="28"/>
                              <w:szCs w:val="28"/>
                            </w:rPr>
                            <w:t xml:space="preserve">- </w:t>
                          </w:r>
                          <w:r>
                            <w:rPr>
                              <w:rFonts w:ascii="仿宋_GB2312" w:eastAsia="仿宋_GB2312"/>
                              <w:sz w:val="28"/>
                              <w:szCs w:val="28"/>
                            </w:rPr>
                            <w:fldChar w:fldCharType="begin"/>
                          </w:r>
                          <w:r>
                            <w:rPr>
                              <w:rFonts w:ascii="仿宋_GB2312" w:eastAsia="仿宋_GB2312"/>
                              <w:sz w:val="28"/>
                              <w:szCs w:val="28"/>
                            </w:rPr>
                            <w:instrText xml:space="preserve"> PAGE </w:instrText>
                          </w:r>
                          <w:r>
                            <w:rPr>
                              <w:rFonts w:ascii="仿宋_GB2312" w:eastAsia="仿宋_GB2312"/>
                              <w:sz w:val="28"/>
                              <w:szCs w:val="28"/>
                            </w:rPr>
                            <w:fldChar w:fldCharType="separate"/>
                          </w:r>
                          <w:r>
                            <w:rPr>
                              <w:rFonts w:ascii="仿宋_GB2312" w:eastAsia="仿宋_GB2312"/>
                              <w:sz w:val="28"/>
                              <w:szCs w:val="28"/>
                            </w:rPr>
                            <w:t>2</w:t>
                          </w:r>
                          <w:r>
                            <w:rPr>
                              <w:rFonts w:ascii="仿宋_GB2312" w:eastAsia="仿宋_GB2312"/>
                              <w:sz w:val="28"/>
                              <w:szCs w:val="28"/>
                            </w:rPr>
                            <w:fldChar w:fldCharType="end"/>
                          </w:r>
                          <w:r>
                            <w:rPr>
                              <w:rFonts w:ascii="仿宋_GB2312" w:eastAsia="仿宋_GB2312"/>
                              <w:sz w:val="28"/>
                              <w:szCs w:val="28"/>
                            </w:rPr>
                            <w:t xml:space="preserve"> -</w:t>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4plRcoBAACcAwAADgAAAGRycy9lMm9Eb2MueG1srVPNjtMwEL4j8Q6W&#10;79Rpk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lW&#10;q9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4plRcoBAACcAwAADgAAAAAAAAABACAAAAAeAQAAZHJzL2Uyb0Rv&#10;Yy54bWxQSwUGAAAAAAYABgBZAQAAWgUAAAAA&#10;">
              <v:fill on="f" focussize="0,0"/>
              <v:stroke on="f"/>
              <v:imagedata o:title=""/>
              <o:lock v:ext="edit" aspectratio="f"/>
              <v:textbox inset="0mm,0mm,0mm,0mm" style="mso-fit-shape-to-text:t;">
                <w:txbxContent>
                  <w:p w14:paraId="7E1CCB81">
                    <w:pPr>
                      <w:pStyle w:val="5"/>
                    </w:pPr>
                    <w:r>
                      <w:rPr>
                        <w:rFonts w:ascii="仿宋_GB2312" w:eastAsia="仿宋_GB2312"/>
                        <w:sz w:val="28"/>
                        <w:szCs w:val="28"/>
                      </w:rPr>
                      <w:t xml:space="preserve">- </w:t>
                    </w:r>
                    <w:r>
                      <w:rPr>
                        <w:rFonts w:ascii="仿宋_GB2312" w:eastAsia="仿宋_GB2312"/>
                        <w:sz w:val="28"/>
                        <w:szCs w:val="28"/>
                      </w:rPr>
                      <w:fldChar w:fldCharType="begin"/>
                    </w:r>
                    <w:r>
                      <w:rPr>
                        <w:rFonts w:ascii="仿宋_GB2312" w:eastAsia="仿宋_GB2312"/>
                        <w:sz w:val="28"/>
                        <w:szCs w:val="28"/>
                      </w:rPr>
                      <w:instrText xml:space="preserve"> PAGE </w:instrText>
                    </w:r>
                    <w:r>
                      <w:rPr>
                        <w:rFonts w:ascii="仿宋_GB2312" w:eastAsia="仿宋_GB2312"/>
                        <w:sz w:val="28"/>
                        <w:szCs w:val="28"/>
                      </w:rPr>
                      <w:fldChar w:fldCharType="separate"/>
                    </w:r>
                    <w:r>
                      <w:rPr>
                        <w:rFonts w:ascii="仿宋_GB2312" w:eastAsia="仿宋_GB2312"/>
                        <w:sz w:val="28"/>
                        <w:szCs w:val="28"/>
                      </w:rPr>
                      <w:t>2</w:t>
                    </w:r>
                    <w:r>
                      <w:rPr>
                        <w:rFonts w:ascii="仿宋_GB2312" w:eastAsia="仿宋_GB2312"/>
                        <w:sz w:val="28"/>
                        <w:szCs w:val="28"/>
                      </w:rPr>
                      <w:fldChar w:fldCharType="end"/>
                    </w:r>
                    <w:r>
                      <w:rPr>
                        <w:rFonts w:ascii="仿宋_GB2312" w:eastAsia="仿宋_GB2312"/>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723A6">
    <w:pPr>
      <w:pStyle w:val="6"/>
      <w:pBdr>
        <w:top w:val="none" w:color="auto" w:sz="0" w:space="0"/>
        <w:left w:val="none" w:color="auto" w:sz="0" w:space="0"/>
        <w:bottom w:val="none" w:color="auto" w:sz="0" w:space="0"/>
        <w:right w:val="none" w:color="auto" w:sz="0" w:space="0"/>
      </w:pBdr>
      <w:rPr>
        <w:rFonts w:ascii="仿宋" w:hAnsi="仿宋" w:eastAsia="仿宋"/>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evenAndOddHeaders w:val="1"/>
  <w:drawingGridHorizontalSpacing w:val="0"/>
  <w:drawingGridVerticalSpacing w:val="156"/>
  <w:noPunctuationKerning w:val="1"/>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mMWQ1NGIwNjExMTRiOTgwNjBmZjYxODFkMTZkZWEifQ=="/>
  </w:docVars>
  <w:rsids>
    <w:rsidRoot w:val="0014294E"/>
    <w:rsid w:val="00003A85"/>
    <w:rsid w:val="00007CE3"/>
    <w:rsid w:val="00033271"/>
    <w:rsid w:val="00043B66"/>
    <w:rsid w:val="00074777"/>
    <w:rsid w:val="00115F8F"/>
    <w:rsid w:val="00123A73"/>
    <w:rsid w:val="0012672A"/>
    <w:rsid w:val="0014294E"/>
    <w:rsid w:val="001472CF"/>
    <w:rsid w:val="00172F95"/>
    <w:rsid w:val="00184539"/>
    <w:rsid w:val="001A2AAE"/>
    <w:rsid w:val="001B4F6A"/>
    <w:rsid w:val="001C6DED"/>
    <w:rsid w:val="00254C44"/>
    <w:rsid w:val="003507C1"/>
    <w:rsid w:val="00381F32"/>
    <w:rsid w:val="003D3F5F"/>
    <w:rsid w:val="003F57F1"/>
    <w:rsid w:val="00406C82"/>
    <w:rsid w:val="00480DF8"/>
    <w:rsid w:val="00494B98"/>
    <w:rsid w:val="004E0180"/>
    <w:rsid w:val="004F6DE2"/>
    <w:rsid w:val="0051614C"/>
    <w:rsid w:val="00521690"/>
    <w:rsid w:val="005832B0"/>
    <w:rsid w:val="00586F37"/>
    <w:rsid w:val="00594731"/>
    <w:rsid w:val="00605056"/>
    <w:rsid w:val="006C1C39"/>
    <w:rsid w:val="006F5513"/>
    <w:rsid w:val="00712A6A"/>
    <w:rsid w:val="00782A6F"/>
    <w:rsid w:val="00826ECA"/>
    <w:rsid w:val="00970144"/>
    <w:rsid w:val="009D691D"/>
    <w:rsid w:val="00A53C50"/>
    <w:rsid w:val="00A97E5F"/>
    <w:rsid w:val="00B10B16"/>
    <w:rsid w:val="00B40E90"/>
    <w:rsid w:val="00B60D33"/>
    <w:rsid w:val="00B664AD"/>
    <w:rsid w:val="00B72A86"/>
    <w:rsid w:val="00C145D6"/>
    <w:rsid w:val="00C20CF6"/>
    <w:rsid w:val="00CF3417"/>
    <w:rsid w:val="00D66548"/>
    <w:rsid w:val="00DC5539"/>
    <w:rsid w:val="00DE0915"/>
    <w:rsid w:val="00E62E15"/>
    <w:rsid w:val="00E75845"/>
    <w:rsid w:val="00FA4CBC"/>
    <w:rsid w:val="03154ADC"/>
    <w:rsid w:val="09290335"/>
    <w:rsid w:val="09C678DB"/>
    <w:rsid w:val="0B5B003D"/>
    <w:rsid w:val="0B7C1FD2"/>
    <w:rsid w:val="0BFA0838"/>
    <w:rsid w:val="0C4D5E73"/>
    <w:rsid w:val="0C793FEB"/>
    <w:rsid w:val="0C8573BB"/>
    <w:rsid w:val="0D3E5497"/>
    <w:rsid w:val="0EA733D2"/>
    <w:rsid w:val="108C58F8"/>
    <w:rsid w:val="10E01064"/>
    <w:rsid w:val="14A730A0"/>
    <w:rsid w:val="15FF1F8C"/>
    <w:rsid w:val="161D68B6"/>
    <w:rsid w:val="164955A2"/>
    <w:rsid w:val="16AF7593"/>
    <w:rsid w:val="17D064B7"/>
    <w:rsid w:val="1805792E"/>
    <w:rsid w:val="185955C8"/>
    <w:rsid w:val="18E90CD1"/>
    <w:rsid w:val="1C73088A"/>
    <w:rsid w:val="1C7B4DFC"/>
    <w:rsid w:val="1C995006"/>
    <w:rsid w:val="1EE0059B"/>
    <w:rsid w:val="1F676CB1"/>
    <w:rsid w:val="2018026A"/>
    <w:rsid w:val="20D15448"/>
    <w:rsid w:val="214C7748"/>
    <w:rsid w:val="214E201A"/>
    <w:rsid w:val="233A29A6"/>
    <w:rsid w:val="236C1AC0"/>
    <w:rsid w:val="24724271"/>
    <w:rsid w:val="24B60C3D"/>
    <w:rsid w:val="24EC0826"/>
    <w:rsid w:val="25910727"/>
    <w:rsid w:val="25C453A4"/>
    <w:rsid w:val="25D324F0"/>
    <w:rsid w:val="268A3AF4"/>
    <w:rsid w:val="28A075FF"/>
    <w:rsid w:val="2B336DA2"/>
    <w:rsid w:val="2E096F2C"/>
    <w:rsid w:val="2E6C3E0B"/>
    <w:rsid w:val="305A4537"/>
    <w:rsid w:val="31920F3E"/>
    <w:rsid w:val="32FB5A62"/>
    <w:rsid w:val="351E30C0"/>
    <w:rsid w:val="358812C5"/>
    <w:rsid w:val="378F7ED8"/>
    <w:rsid w:val="37C0490E"/>
    <w:rsid w:val="37EA2644"/>
    <w:rsid w:val="3C5F0C31"/>
    <w:rsid w:val="3D6E5BD4"/>
    <w:rsid w:val="3EC534C3"/>
    <w:rsid w:val="3FAF4340"/>
    <w:rsid w:val="41A271BA"/>
    <w:rsid w:val="42443F79"/>
    <w:rsid w:val="42660316"/>
    <w:rsid w:val="42B55273"/>
    <w:rsid w:val="450E09D8"/>
    <w:rsid w:val="461322B9"/>
    <w:rsid w:val="47557689"/>
    <w:rsid w:val="47A23D34"/>
    <w:rsid w:val="47CA35BA"/>
    <w:rsid w:val="49853109"/>
    <w:rsid w:val="4A7303EC"/>
    <w:rsid w:val="4AF80FA8"/>
    <w:rsid w:val="4BF100F3"/>
    <w:rsid w:val="4C4B4D56"/>
    <w:rsid w:val="4CEB3356"/>
    <w:rsid w:val="4DDD1871"/>
    <w:rsid w:val="4E3E3FE1"/>
    <w:rsid w:val="50571209"/>
    <w:rsid w:val="522410A9"/>
    <w:rsid w:val="52F27B06"/>
    <w:rsid w:val="530013AB"/>
    <w:rsid w:val="535827AD"/>
    <w:rsid w:val="557414A1"/>
    <w:rsid w:val="564511AB"/>
    <w:rsid w:val="57BF7A59"/>
    <w:rsid w:val="59285484"/>
    <w:rsid w:val="5A785F14"/>
    <w:rsid w:val="5C784EB6"/>
    <w:rsid w:val="5CA478EE"/>
    <w:rsid w:val="5CE45F1A"/>
    <w:rsid w:val="5D9628A5"/>
    <w:rsid w:val="5F844329"/>
    <w:rsid w:val="5FA70187"/>
    <w:rsid w:val="60E53978"/>
    <w:rsid w:val="66652D12"/>
    <w:rsid w:val="680763EE"/>
    <w:rsid w:val="684B4A6C"/>
    <w:rsid w:val="69E05120"/>
    <w:rsid w:val="6C2772AE"/>
    <w:rsid w:val="6DA63880"/>
    <w:rsid w:val="6E181063"/>
    <w:rsid w:val="6EA63A54"/>
    <w:rsid w:val="6F286DC8"/>
    <w:rsid w:val="6F9D7B88"/>
    <w:rsid w:val="70020E1C"/>
    <w:rsid w:val="73AE7BFB"/>
    <w:rsid w:val="74460559"/>
    <w:rsid w:val="75EB6F14"/>
    <w:rsid w:val="78F16688"/>
    <w:rsid w:val="7A0430B5"/>
    <w:rsid w:val="7A51607C"/>
    <w:rsid w:val="7C346788"/>
    <w:rsid w:val="7C7E1E97"/>
    <w:rsid w:val="7C9853F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qFormat="1" w:unhideWhenUsed="0" w:uiPriority="0" w:semiHidden="0" w:name="footnote text" w:locked="1"/>
    <w:lsdException w:qFormat="1"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semiHidden="0"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1"/>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99"/>
    <w:pPr>
      <w:autoSpaceDE w:val="0"/>
      <w:autoSpaceDN w:val="0"/>
      <w:adjustRightInd w:val="0"/>
      <w:ind w:firstLine="640" w:firstLineChars="200"/>
      <w:outlineLvl w:val="0"/>
    </w:pPr>
    <w:rPr>
      <w:rFonts w:ascii="黑体" w:hAnsi="黑体" w:eastAsia="黑体"/>
      <w:kern w:val="0"/>
      <w:sz w:val="32"/>
      <w:szCs w:val="20"/>
    </w:rPr>
  </w:style>
  <w:style w:type="paragraph" w:styleId="3">
    <w:name w:val="heading 2"/>
    <w:basedOn w:val="1"/>
    <w:next w:val="1"/>
    <w:link w:val="27"/>
    <w:qFormat/>
    <w:uiPriority w:val="99"/>
    <w:pPr>
      <w:autoSpaceDE w:val="0"/>
      <w:autoSpaceDN w:val="0"/>
      <w:adjustRightInd w:val="0"/>
      <w:ind w:firstLine="640" w:firstLineChars="200"/>
      <w:outlineLvl w:val="1"/>
    </w:pPr>
    <w:rPr>
      <w:rFonts w:ascii="楷体" w:hAnsi="楷体" w:eastAsia="楷体"/>
      <w:kern w:val="0"/>
      <w:sz w:val="20"/>
      <w:szCs w:val="20"/>
    </w:rPr>
  </w:style>
  <w:style w:type="character" w:default="1" w:styleId="9">
    <w:name w:val="Default Paragraph Font"/>
    <w:semiHidden/>
    <w:qFormat/>
    <w:uiPriority w:val="99"/>
  </w:style>
  <w:style w:type="table" w:default="1" w:styleId="8">
    <w:name w:val="Normal Table"/>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locked/>
    <w:uiPriority w:val="99"/>
    <w:pPr>
      <w:jc w:val="left"/>
    </w:pPr>
  </w:style>
  <w:style w:type="paragraph" w:styleId="5">
    <w:name w:val="footer"/>
    <w:basedOn w:val="1"/>
    <w:link w:val="11"/>
    <w:qFormat/>
    <w:uiPriority w:val="99"/>
    <w:pPr>
      <w:tabs>
        <w:tab w:val="center" w:pos="4153"/>
        <w:tab w:val="right" w:pos="8306"/>
      </w:tabs>
      <w:snapToGrid w:val="0"/>
      <w:jc w:val="left"/>
    </w:pPr>
    <w:rPr>
      <w:kern w:val="0"/>
      <w:sz w:val="18"/>
      <w:szCs w:val="18"/>
    </w:rPr>
  </w:style>
  <w:style w:type="paragraph" w:styleId="6">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kern w:val="0"/>
      <w:sz w:val="18"/>
      <w:szCs w:val="18"/>
    </w:rPr>
  </w:style>
  <w:style w:type="paragraph" w:styleId="7">
    <w:name w:val="footnote text"/>
    <w:basedOn w:val="1"/>
    <w:qFormat/>
    <w:locked/>
    <w:uiPriority w:val="0"/>
    <w:pPr>
      <w:snapToGrid w:val="0"/>
      <w:jc w:val="left"/>
    </w:pPr>
    <w:rPr>
      <w:rFonts w:eastAsia="宋体"/>
      <w:kern w:val="2"/>
      <w:sz w:val="18"/>
      <w:lang w:val="en-US" w:eastAsia="zh-CN" w:bidi="ar-SA"/>
    </w:rPr>
  </w:style>
  <w:style w:type="character" w:styleId="10">
    <w:name w:val="page number"/>
    <w:basedOn w:val="9"/>
    <w:qFormat/>
    <w:locked/>
    <w:uiPriority w:val="99"/>
    <w:rPr>
      <w:rFonts w:cs="Times New Roman"/>
    </w:rPr>
  </w:style>
  <w:style w:type="character" w:customStyle="1" w:styleId="11">
    <w:name w:val="Footer Char"/>
    <w:basedOn w:val="9"/>
    <w:link w:val="5"/>
    <w:semiHidden/>
    <w:qFormat/>
    <w:locked/>
    <w:uiPriority w:val="99"/>
    <w:rPr>
      <w:rFonts w:cs="Times New Roman"/>
      <w:sz w:val="18"/>
    </w:rPr>
  </w:style>
  <w:style w:type="character" w:customStyle="1" w:styleId="12">
    <w:name w:val="Header Char"/>
    <w:basedOn w:val="9"/>
    <w:link w:val="6"/>
    <w:semiHidden/>
    <w:qFormat/>
    <w:locked/>
    <w:uiPriority w:val="99"/>
    <w:rPr>
      <w:rFonts w:cs="Times New Roman"/>
      <w:sz w:val="18"/>
    </w:rPr>
  </w:style>
  <w:style w:type="character" w:customStyle="1" w:styleId="13">
    <w:name w:val="纯文本 Char"/>
    <w:link w:val="14"/>
    <w:semiHidden/>
    <w:qFormat/>
    <w:locked/>
    <w:uiPriority w:val="99"/>
    <w:rPr>
      <w:rFonts w:ascii="宋体" w:hAnsi="Courier New"/>
      <w:sz w:val="21"/>
    </w:rPr>
  </w:style>
  <w:style w:type="paragraph" w:customStyle="1" w:styleId="14">
    <w:name w:val="Plain Text1"/>
    <w:basedOn w:val="1"/>
    <w:link w:val="13"/>
    <w:qFormat/>
    <w:uiPriority w:val="99"/>
    <w:rPr>
      <w:rFonts w:ascii="宋体" w:hAnsi="Courier New"/>
      <w:kern w:val="0"/>
      <w:szCs w:val="20"/>
    </w:rPr>
  </w:style>
  <w:style w:type="paragraph" w:customStyle="1" w:styleId="15">
    <w:name w:val="Normal (Web)1"/>
    <w:basedOn w:val="1"/>
    <w:qFormat/>
    <w:uiPriority w:val="99"/>
    <w:pPr>
      <w:widowControl/>
      <w:spacing w:before="100" w:beforeAutospacing="1" w:after="100" w:afterAutospacing="1"/>
      <w:jc w:val="left"/>
    </w:pPr>
    <w:rPr>
      <w:rFonts w:ascii="宋体" w:hAnsi="宋体" w:cs="宋体"/>
      <w:kern w:val="0"/>
      <w:sz w:val="24"/>
    </w:rPr>
  </w:style>
  <w:style w:type="paragraph" w:customStyle="1" w:styleId="16">
    <w:name w:val="默认段落字体 Para Char Char Char Char"/>
    <w:basedOn w:val="1"/>
    <w:qFormat/>
    <w:uiPriority w:val="99"/>
    <w:pPr>
      <w:ind w:firstLine="200" w:firstLineChars="200"/>
    </w:pPr>
  </w:style>
  <w:style w:type="paragraph" w:customStyle="1" w:styleId="17">
    <w:name w:val="Char Char Char Char Char Char Char Char Char Char Char Char"/>
    <w:basedOn w:val="1"/>
    <w:qFormat/>
    <w:uiPriority w:val="99"/>
    <w:pPr>
      <w:spacing w:line="360" w:lineRule="auto"/>
    </w:pPr>
  </w:style>
  <w:style w:type="paragraph" w:customStyle="1" w:styleId="18">
    <w:name w:val="Char Char Char Char Char Char Char"/>
    <w:basedOn w:val="1"/>
    <w:qFormat/>
    <w:uiPriority w:val="99"/>
    <w:rPr>
      <w:szCs w:val="24"/>
    </w:rPr>
  </w:style>
  <w:style w:type="paragraph" w:customStyle="1" w:styleId="19">
    <w:name w:val="Char1"/>
    <w:basedOn w:val="1"/>
    <w:qFormat/>
    <w:uiPriority w:val="99"/>
  </w:style>
  <w:style w:type="paragraph" w:customStyle="1" w:styleId="20">
    <w:name w:val="默认段落字体 Para Char Char Char Char Char Char Char"/>
    <w:basedOn w:val="1"/>
    <w:qFormat/>
    <w:uiPriority w:val="99"/>
    <w:rPr>
      <w:szCs w:val="24"/>
    </w:rPr>
  </w:style>
  <w:style w:type="paragraph" w:customStyle="1" w:styleId="21">
    <w:name w:val="p0"/>
    <w:basedOn w:val="1"/>
    <w:qFormat/>
    <w:uiPriority w:val="99"/>
    <w:pPr>
      <w:widowControl/>
    </w:pPr>
    <w:rPr>
      <w:kern w:val="0"/>
    </w:rPr>
  </w:style>
  <w:style w:type="paragraph" w:customStyle="1" w:styleId="22">
    <w:name w:val="正文1 Char Char Char"/>
    <w:basedOn w:val="1"/>
    <w:qFormat/>
    <w:uiPriority w:val="99"/>
    <w:pPr>
      <w:spacing w:line="360" w:lineRule="auto"/>
      <w:ind w:firstLine="200" w:firstLineChars="200"/>
    </w:pPr>
  </w:style>
  <w:style w:type="paragraph" w:customStyle="1" w:styleId="23">
    <w:name w:val="p16"/>
    <w:basedOn w:val="1"/>
    <w:qFormat/>
    <w:uiPriority w:val="99"/>
    <w:pPr>
      <w:widowControl/>
      <w:spacing w:before="100" w:after="100"/>
      <w:jc w:val="left"/>
    </w:pPr>
    <w:rPr>
      <w:rFonts w:ascii="宋体" w:hAnsi="宋体" w:cs="宋体"/>
      <w:kern w:val="0"/>
      <w:sz w:val="24"/>
      <w:szCs w:val="24"/>
    </w:rPr>
  </w:style>
  <w:style w:type="character" w:customStyle="1" w:styleId="24">
    <w:name w:val="Page Number1"/>
    <w:qFormat/>
    <w:uiPriority w:val="99"/>
  </w:style>
  <w:style w:type="character" w:customStyle="1" w:styleId="25">
    <w:name w:val="Header Char1"/>
    <w:qFormat/>
    <w:uiPriority w:val="99"/>
    <w:rPr>
      <w:sz w:val="18"/>
    </w:rPr>
  </w:style>
  <w:style w:type="character" w:customStyle="1" w:styleId="26">
    <w:name w:val="Footer Char1"/>
    <w:qFormat/>
    <w:uiPriority w:val="99"/>
    <w:rPr>
      <w:sz w:val="18"/>
    </w:rPr>
  </w:style>
  <w:style w:type="character" w:customStyle="1" w:styleId="27">
    <w:name w:val="Heading 2 Char"/>
    <w:basedOn w:val="9"/>
    <w:link w:val="3"/>
    <w:semiHidden/>
    <w:qFormat/>
    <w:locked/>
    <w:uiPriority w:val="99"/>
    <w:rPr>
      <w:rFonts w:ascii="楷体" w:hAnsi="楷体" w:eastAsia="楷体"/>
      <w:kern w:val="0"/>
      <w:sz w:val="20"/>
      <w:szCs w:val="20"/>
    </w:rPr>
  </w:style>
  <w:style w:type="paragraph" w:customStyle="1" w:styleId="28">
    <w:name w:val="List Paragraph"/>
    <w:basedOn w:val="1"/>
    <w:autoRedefine/>
    <w:qFormat/>
    <w:uiPriority w:val="0"/>
    <w:pPr>
      <w:ind w:firstLine="420" w:firstLineChars="200"/>
    </w:pPr>
  </w:style>
  <w:style w:type="paragraph" w:customStyle="1" w:styleId="29">
    <w:name w:val="纯文本1"/>
    <w:basedOn w:val="1"/>
    <w:qFormat/>
    <w:uiPriority w:val="0"/>
    <w:rPr>
      <w:rFonts w:ascii="宋体" w:hAnsi="Courier New" w:eastAsia="宋体"/>
      <w:sz w:val="21"/>
    </w:rPr>
  </w:style>
  <w:style w:type="paragraph" w:customStyle="1" w:styleId="30">
    <w:name w:val="页脚1"/>
    <w:basedOn w:val="1"/>
    <w:qFormat/>
    <w:uiPriority w:val="0"/>
    <w:pPr>
      <w:tabs>
        <w:tab w:val="center" w:pos="4153"/>
        <w:tab w:val="right" w:pos="8306"/>
      </w:tabs>
      <w:snapToGrid w:val="0"/>
      <w:jc w:val="left"/>
    </w:pPr>
    <w:rPr>
      <w:sz w:val="18"/>
    </w:rPr>
  </w:style>
  <w:style w:type="character" w:customStyle="1" w:styleId="31">
    <w:name w:val="页码1"/>
    <w:basedOn w:val="32"/>
    <w:link w:val="1"/>
    <w:qFormat/>
    <w:uiPriority w:val="0"/>
    <w:rPr>
      <w:rFonts w:ascii="Times New Roman" w:hAnsi="Times New Roman" w:eastAsia="宋体" w:cs="Times New Roman"/>
      <w:kern w:val="2"/>
      <w:sz w:val="21"/>
      <w:szCs w:val="21"/>
      <w:lang w:val="en-US" w:eastAsia="zh-CN" w:bidi="ar-SA"/>
    </w:rPr>
  </w:style>
  <w:style w:type="character" w:customStyle="1" w:styleId="32">
    <w:name w:val="默认段落字体1"/>
    <w:link w:val="33"/>
    <w:semiHidden/>
    <w:qFormat/>
    <w:uiPriority w:val="0"/>
    <w:rPr>
      <w:szCs w:val="20"/>
    </w:rPr>
  </w:style>
  <w:style w:type="paragraph" w:customStyle="1" w:styleId="33">
    <w:name w:val="Char"/>
    <w:basedOn w:val="1"/>
    <w:link w:val="32"/>
    <w:qFormat/>
    <w:uiPriority w:val="0"/>
    <w:pPr>
      <w:keepNext/>
      <w:widowControl/>
      <w:tabs>
        <w:tab w:val="left" w:pos="425"/>
      </w:tabs>
      <w:autoSpaceDE w:val="0"/>
      <w:autoSpaceDN w:val="0"/>
      <w:spacing w:before="80" w:after="80"/>
      <w:ind w:hanging="425"/>
    </w:pPr>
    <w:rPr>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重庆工商大学</Company>
  <Pages>7</Pages>
  <Words>3383</Words>
  <Characters>4026</Characters>
  <Lines>0</Lines>
  <Paragraphs>0</Paragraphs>
  <TotalTime>174</TotalTime>
  <ScaleCrop>false</ScaleCrop>
  <LinksUpToDate>false</LinksUpToDate>
  <CharactersWithSpaces>4046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2020-09-21T02:21:00Z</dcterms:created>
  <dc:creator>Administrator</dc:creator>
  <cp:lastModifiedBy>陌落</cp:lastModifiedBy>
  <cp:lastPrinted>2026-02-13T00:52:00Z</cp:lastPrinted>
  <dcterms:modified xsi:type="dcterms:W3CDTF">2026-10-14T08:24:36Z</dcterms:modified>
  <dc:title>石家庄市人民政府</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E8E32FFEB1504EA6B6C038CBF4817987_13</vt:lpwstr>
  </property>
  <property fmtid="{D5CDD505-2E9C-101B-9397-08002B2CF9AE}" pid="4" name="KSOTemplateDocerSaveRecord">
    <vt:lpwstr>eyJoZGlkIjoiNjE3OTZkNDM5ZWEyNTdkNmEyYTZlNTAxZWEyNGQyNTUiLCJ1c2VySWQiOiI0MDE4NTEzNTQifQ==</vt:lpwstr>
  </property>
</Properties>
</file>