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03F954">
      <w:bookmarkStart w:id="0" w:name="heading_2"/>
    </w:p>
    <w:p w14:paraId="0ED0A5D9">
      <w:pPr>
        <w:pStyle w:val="28"/>
        <w:keepNext w:val="0"/>
        <w:keepLines w:val="0"/>
        <w:pageBreakBefore w:val="0"/>
        <w:widowControl w:val="0"/>
        <w:kinsoku/>
        <w:wordWrap/>
        <w:overflowPunct/>
        <w:topLinePunct w:val="0"/>
        <w:bidi w:val="0"/>
        <w:snapToGrid/>
        <w:spacing w:line="600" w:lineRule="exact"/>
        <w:jc w:val="center"/>
        <w:textAlignment w:val="auto"/>
        <w:rPr>
          <w:rFonts w:ascii="Times New Roman" w:hAnsi="Times New Roman" w:eastAsia="方正小标宋_GBK" w:cs="Times New Roman"/>
          <w:color w:val="auto"/>
          <w:sz w:val="36"/>
          <w:szCs w:val="36"/>
        </w:rPr>
      </w:pPr>
      <w:r>
        <w:rPr>
          <w:rFonts w:hint="eastAsia" w:ascii="Times New Roman" w:hAnsi="Times New Roman" w:eastAsia="方正小标宋_GBK" w:cs="Times New Roman"/>
          <w:color w:val="auto"/>
          <w:sz w:val="36"/>
          <w:szCs w:val="36"/>
        </w:rPr>
        <w:t>中国（河北）自由贸易试验区正定片区政府采购领域</w:t>
      </w:r>
    </w:p>
    <w:p w14:paraId="75772A0E">
      <w:pPr>
        <w:pStyle w:val="28"/>
        <w:keepNext w:val="0"/>
        <w:keepLines w:val="0"/>
        <w:pageBreakBefore w:val="0"/>
        <w:widowControl w:val="0"/>
        <w:kinsoku/>
        <w:wordWrap/>
        <w:overflowPunct/>
        <w:topLinePunct w:val="0"/>
        <w:bidi w:val="0"/>
        <w:snapToGrid/>
        <w:spacing w:line="600" w:lineRule="exact"/>
        <w:jc w:val="center"/>
        <w:textAlignment w:val="auto"/>
        <w:rPr>
          <w:rFonts w:ascii="Times New Roman" w:hAnsi="Times New Roman" w:eastAsia="方正小标宋_GBK" w:cs="Times New Roman"/>
          <w:color w:val="auto"/>
          <w:sz w:val="36"/>
          <w:szCs w:val="36"/>
        </w:rPr>
      </w:pPr>
      <w:r>
        <w:rPr>
          <w:rFonts w:hint="eastAsia" w:ascii="Times New Roman" w:hAnsi="Times New Roman" w:eastAsia="方正小标宋_GBK" w:cs="Times New Roman"/>
          <w:color w:val="auto"/>
          <w:sz w:val="36"/>
          <w:szCs w:val="36"/>
        </w:rPr>
        <w:t>全面对接国际高标准经贸规则推进高水平制度型开放</w:t>
      </w:r>
    </w:p>
    <w:p w14:paraId="77954C13">
      <w:pPr>
        <w:pStyle w:val="28"/>
        <w:keepNext w:val="0"/>
        <w:keepLines w:val="0"/>
        <w:pageBreakBefore w:val="0"/>
        <w:widowControl w:val="0"/>
        <w:kinsoku/>
        <w:wordWrap/>
        <w:overflowPunct/>
        <w:topLinePunct w:val="0"/>
        <w:bidi w:val="0"/>
        <w:snapToGrid/>
        <w:spacing w:line="600" w:lineRule="exact"/>
        <w:jc w:val="center"/>
        <w:textAlignment w:val="auto"/>
        <w:rPr>
          <w:rFonts w:ascii="Times New Roman" w:hAnsi="Times New Roman" w:eastAsia="方正小标宋_GBK" w:cs="Times New Roman"/>
          <w:color w:val="auto"/>
          <w:sz w:val="36"/>
          <w:szCs w:val="36"/>
        </w:rPr>
      </w:pPr>
      <w:r>
        <w:rPr>
          <w:rFonts w:hint="eastAsia" w:ascii="Times New Roman" w:hAnsi="Times New Roman" w:eastAsia="方正小标宋_GBK" w:cs="Times New Roman"/>
          <w:color w:val="auto"/>
          <w:sz w:val="36"/>
          <w:szCs w:val="36"/>
        </w:rPr>
        <w:t>试点措施补充实施细则（</w:t>
      </w:r>
      <w:r>
        <w:rPr>
          <w:rFonts w:hint="eastAsia" w:ascii="Times New Roman" w:hAnsi="Times New Roman" w:eastAsia="方正小标宋_GBK" w:cs="Times New Roman"/>
          <w:color w:val="auto"/>
          <w:sz w:val="36"/>
          <w:szCs w:val="36"/>
          <w:lang w:val="en-US" w:eastAsia="zh-CN"/>
        </w:rPr>
        <w:t>征求意见稿</w:t>
      </w:r>
      <w:r>
        <w:rPr>
          <w:rFonts w:hint="eastAsia" w:ascii="Times New Roman" w:hAnsi="Times New Roman" w:eastAsia="方正小标宋_GBK" w:cs="Times New Roman"/>
          <w:color w:val="auto"/>
          <w:sz w:val="36"/>
          <w:szCs w:val="36"/>
        </w:rPr>
        <w:t>）</w:t>
      </w:r>
    </w:p>
    <w:p w14:paraId="359471CF">
      <w:pPr>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40"/>
        </w:rPr>
      </w:pPr>
    </w:p>
    <w:p w14:paraId="1ADEE440">
      <w:pPr>
        <w:pStyle w:val="29"/>
        <w:keepNext w:val="0"/>
        <w:keepLines w:val="0"/>
        <w:pageBreakBefore w:val="0"/>
        <w:widowControl w:val="0"/>
        <w:numPr>
          <w:ilvl w:val="0"/>
          <w:numId w:val="1"/>
        </w:numPr>
        <w:kinsoku/>
        <w:wordWrap/>
        <w:overflowPunct/>
        <w:topLinePunct w:val="0"/>
        <w:bidi w:val="0"/>
        <w:snapToGrid/>
        <w:spacing w:line="600" w:lineRule="exact"/>
        <w:textAlignment w:val="auto"/>
        <w:rPr>
          <w:rFonts w:hint="eastAsia"/>
        </w:rPr>
      </w:pPr>
      <w:r>
        <w:rPr>
          <w:rFonts w:hint="eastAsia"/>
        </w:rPr>
        <w:t xml:space="preserve"> 总则</w:t>
      </w:r>
    </w:p>
    <w:p w14:paraId="73E71AC0">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b/>
        </w:rPr>
      </w:pPr>
      <w:r>
        <w:rPr>
          <w:rFonts w:hint="eastAsia" w:ascii="楷体_GB2312" w:hAnsi="楷体_GB2312" w:eastAsia="楷体_GB2312" w:cs="楷体_GB2312"/>
        </w:rPr>
        <w:t xml:space="preserve">第一条  </w:t>
      </w:r>
      <w:r>
        <w:rPr>
          <w:rFonts w:hint="eastAsia" w:ascii="仿宋_GB2312" w:hAnsi="仿宋_GB2312"/>
        </w:rPr>
        <w:t>为全面落实自由贸易试验区全面对接国际高标准经贸规则推进高水平制度型开放试点措施复制推广工作要求，优化提升正定片区政府采购领域市场化、法治化、国际化营商环境，根据《中华人民共和国政府采购法》及其实施条例、《河北省财政厅关于做好自由贸易试验区全面对接国际高标准经贸规则推进高水平制度型开放试点措施复制推广工作的通知》（冀财采〔2025〕15号）等法律法规和文件规定，结合</w:t>
      </w:r>
      <w:bookmarkStart w:id="34" w:name="_GoBack"/>
      <w:bookmarkEnd w:id="34"/>
      <w:r>
        <w:rPr>
          <w:rFonts w:hint="eastAsia" w:ascii="仿宋_GB2312" w:hAnsi="仿宋_GB2312"/>
        </w:rPr>
        <w:t>中国（河北）自由</w:t>
      </w:r>
      <w:r>
        <w:rPr>
          <w:rFonts w:hint="eastAsia" w:ascii="仿宋_GB2312" w:hAnsi="仿宋_GB2312"/>
          <w:spacing w:val="7"/>
        </w:rPr>
        <w:t>贸</w:t>
      </w:r>
      <w:r>
        <w:rPr>
          <w:rFonts w:hint="eastAsia" w:ascii="仿宋_GB2312" w:hAnsi="仿宋_GB2312"/>
          <w:spacing w:val="13"/>
        </w:rPr>
        <w:t>易试验区正定片</w:t>
      </w:r>
      <w:r>
        <w:rPr>
          <w:rFonts w:hint="eastAsia" w:ascii="仿宋_GB2312" w:hAnsi="仿宋_GB2312"/>
          <w:spacing w:val="7"/>
        </w:rPr>
        <w:t>区</w:t>
      </w:r>
      <w:r>
        <w:rPr>
          <w:rFonts w:hint="eastAsia" w:ascii="仿宋_GB2312" w:hAnsi="仿宋_GB2312"/>
          <w:spacing w:val="28"/>
        </w:rPr>
        <w:t>（</w:t>
      </w:r>
      <w:r>
        <w:rPr>
          <w:rFonts w:hint="eastAsia" w:ascii="仿宋_GB2312" w:hAnsi="仿宋_GB2312"/>
          <w:spacing w:val="7"/>
        </w:rPr>
        <w:t>以</w:t>
      </w:r>
      <w:r>
        <w:rPr>
          <w:rFonts w:hint="eastAsia" w:ascii="仿宋_GB2312" w:hAnsi="仿宋_GB2312"/>
          <w:spacing w:val="13"/>
        </w:rPr>
        <w:t>下简称正定片区</w:t>
      </w:r>
      <w:r>
        <w:rPr>
          <w:rFonts w:hint="eastAsia" w:ascii="仿宋_GB2312" w:hAnsi="仿宋_GB2312"/>
          <w:spacing w:val="29"/>
        </w:rPr>
        <w:t>）</w:t>
      </w:r>
      <w:r>
        <w:rPr>
          <w:rFonts w:hint="eastAsia" w:ascii="仿宋_GB2312" w:hAnsi="仿宋_GB2312"/>
          <w:spacing w:val="13"/>
        </w:rPr>
        <w:t>实</w:t>
      </w:r>
      <w:r>
        <w:rPr>
          <w:rFonts w:hint="eastAsia" w:ascii="仿宋_GB2312" w:hAnsi="仿宋_GB2312"/>
          <w:spacing w:val="7"/>
        </w:rPr>
        <w:t>际</w:t>
      </w:r>
      <w:r>
        <w:rPr>
          <w:rFonts w:hint="eastAsia" w:ascii="仿宋_GB2312" w:hAnsi="仿宋_GB2312"/>
          <w:spacing w:val="13"/>
        </w:rPr>
        <w:t>，制定</w:t>
      </w:r>
      <w:r>
        <w:rPr>
          <w:rFonts w:hint="eastAsia" w:ascii="仿宋_GB2312" w:hAnsi="仿宋_GB2312"/>
        </w:rPr>
        <w:t>本细则。</w:t>
      </w:r>
    </w:p>
    <w:p w14:paraId="03FA3E1A">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rPr>
      </w:pPr>
      <w:r>
        <w:rPr>
          <w:rFonts w:hint="eastAsia" w:ascii="楷体_GB2312" w:hAnsi="楷体_GB2312" w:eastAsia="楷体_GB2312" w:cs="楷体_GB2312"/>
        </w:rPr>
        <w:t xml:space="preserve">第二条  </w:t>
      </w:r>
      <w:r>
        <w:rPr>
          <w:rFonts w:hint="eastAsia" w:ascii="仿宋_GB2312" w:hAnsi="仿宋_GB2312"/>
        </w:rPr>
        <w:t>正定片区政府采购活动应当遵循公开透明、公平竞争、公正诚信、权责对等原则，全面对接《全面与进步跨太平洋伙伴关系协定》（CPTPP）、《政府采购协定》（GPA）、《数字经济伙伴关系协定》（DEPA）等国际高标准经贸规则，持续推进制度型开放。</w:t>
      </w:r>
      <w:sdt>
        <w:sdtPr>
          <w:rPr>
            <w:rFonts w:hint="eastAsia" w:ascii="仿宋_GB2312" w:hAnsi="仿宋_GB2312"/>
          </w:rPr>
          <w:id w:val="147469489"/>
          <w:showingPlcHdr/>
          <w15:color w:val="DBDBDB"/>
        </w:sdtPr>
        <w:sdtEndPr>
          <w:rPr>
            <w:rFonts w:hint="eastAsia" w:ascii="仿宋_GB2312" w:hAnsi="仿宋_GB2312"/>
          </w:rPr>
        </w:sdtEndPr>
        <w:sdtContent>
          <w:r>
            <w:rPr>
              <w:rFonts w:hint="eastAsia" w:ascii="仿宋_GB2312" w:hAnsi="仿宋_GB2312"/>
            </w:rPr>
            <w:t xml:space="preserve">     </w:t>
          </w:r>
        </w:sdtContent>
      </w:sdt>
    </w:p>
    <w:p w14:paraId="322D12C9">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rPr>
      </w:pPr>
      <w:r>
        <w:rPr>
          <w:rFonts w:hint="eastAsia" w:ascii="楷体_GB2312" w:hAnsi="楷体_GB2312" w:eastAsia="楷体_GB2312" w:cs="楷体_GB2312"/>
        </w:rPr>
        <w:t xml:space="preserve">第三条  </w:t>
      </w:r>
      <w:r>
        <w:rPr>
          <w:rFonts w:hint="eastAsia" w:ascii="仿宋_GB2312" w:hAnsi="仿宋_GB2312"/>
        </w:rPr>
        <w:t>本细则适用于正定片区内机关、事业单位、团体组织（以下简称采购人）为自身履职或提供公共服务需要，以合同方式取得河北省政府集中采购目录以内的或者采购限额标准以上的货物、工程（适用《中华人民共和国政府采购法》）和服务的政府采购活动，涉及国家安全和国家秘密的项目除外。</w:t>
      </w:r>
    </w:p>
    <w:p w14:paraId="06366A5C">
      <w:pPr>
        <w:pStyle w:val="29"/>
        <w:keepNext w:val="0"/>
        <w:keepLines w:val="0"/>
        <w:pageBreakBefore w:val="0"/>
        <w:widowControl w:val="0"/>
        <w:numPr>
          <w:ilvl w:val="0"/>
          <w:numId w:val="1"/>
        </w:numPr>
        <w:kinsoku/>
        <w:wordWrap/>
        <w:overflowPunct/>
        <w:topLinePunct w:val="0"/>
        <w:bidi w:val="0"/>
        <w:snapToGrid/>
        <w:spacing w:line="600" w:lineRule="exact"/>
        <w:textAlignment w:val="auto"/>
        <w:rPr>
          <w:rFonts w:hint="eastAsia"/>
        </w:rPr>
      </w:pPr>
      <w:bookmarkStart w:id="1" w:name="heading_3"/>
      <w:bookmarkStart w:id="2" w:name="_Toc616"/>
      <w:r>
        <w:rPr>
          <w:rFonts w:hint="eastAsia"/>
        </w:rPr>
        <w:t xml:space="preserve"> 政府</w:t>
      </w:r>
      <w:r>
        <w:t>采购领域改革复制推广的具体试点措施</w:t>
      </w:r>
      <w:bookmarkEnd w:id="1"/>
      <w:bookmarkEnd w:id="2"/>
    </w:p>
    <w:p w14:paraId="709B0DE1">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rPr>
      </w:pPr>
      <w:r>
        <w:rPr>
          <w:rFonts w:hint="eastAsia" w:ascii="楷体_GB2312" w:hAnsi="楷体_GB2312" w:eastAsia="楷体_GB2312" w:cs="楷体_GB2312"/>
        </w:rPr>
        <w:t xml:space="preserve">第四条  </w:t>
      </w:r>
      <w:r>
        <w:rPr>
          <w:rFonts w:hint="eastAsia" w:ascii="仿宋_GB2312" w:hAnsi="仿宋_GB2312"/>
        </w:rPr>
        <w:t>采购人编制政府采购预算时，应充分考虑以下因素：各类费用、佣金、利息等；选择性购买的价格；同一采购项下的所有合同。</w:t>
      </w:r>
    </w:p>
    <w:p w14:paraId="0770755D">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rPr>
      </w:pPr>
      <w:bookmarkStart w:id="3" w:name="_Toc15106"/>
      <w:r>
        <w:rPr>
          <w:rFonts w:hint="eastAsia" w:ascii="仿宋_GB2312" w:hAnsi="仿宋_GB2312"/>
        </w:rPr>
        <w:t>（一）</w:t>
      </w:r>
      <w:bookmarkEnd w:id="3"/>
      <w:r>
        <w:rPr>
          <w:rFonts w:hint="eastAsia" w:ascii="仿宋_GB2312" w:hAnsi="仿宋_GB2312"/>
        </w:rPr>
        <w:t>政府采购预算必须完</w:t>
      </w:r>
      <w:r>
        <w:rPr>
          <w:rFonts w:hint="eastAsia" w:ascii="仿宋_GB2312" w:hAnsi="仿宋_GB2312"/>
          <w:highlight w:val="none"/>
        </w:rPr>
        <w:t>整包括</w:t>
      </w:r>
      <w:r>
        <w:rPr>
          <w:rFonts w:hint="eastAsia" w:ascii="仿宋_GB2312" w:hAnsi="仿宋_GB2312"/>
        </w:rPr>
        <w:t>以下核算要素：采购标的核心价款及伴随采购产生的各类佣金、服务费、利息、税费等衍生费用；采购项目项下选择性购买内容的预估价格；同一采购项目项下所有分合同、补充合同的全口径成本。</w:t>
      </w:r>
    </w:p>
    <w:p w14:paraId="005337BF">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rPr>
      </w:pPr>
      <w:bookmarkStart w:id="4" w:name="_Toc24816"/>
      <w:r>
        <w:rPr>
          <w:rFonts w:hint="eastAsia" w:ascii="仿宋_GB2312" w:hAnsi="仿宋_GB2312"/>
        </w:rPr>
        <w:t>（二）</w:t>
      </w:r>
      <w:bookmarkEnd w:id="4"/>
      <w:r>
        <w:rPr>
          <w:rFonts w:hint="eastAsia" w:ascii="仿宋_GB2312" w:hAnsi="仿宋_GB2312"/>
        </w:rPr>
        <w:t>预算编制时须出具《预算全口径核算说明》，并纳入部门年度预算。</w:t>
      </w:r>
    </w:p>
    <w:p w14:paraId="138E4E64">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rPr>
      </w:pPr>
      <w:r>
        <w:rPr>
          <w:rFonts w:hint="eastAsia" w:ascii="楷体_GB2312" w:hAnsi="楷体_GB2312" w:eastAsia="楷体_GB2312" w:cs="楷体_GB2312"/>
        </w:rPr>
        <w:t xml:space="preserve">第五条  </w:t>
      </w:r>
      <w:r>
        <w:rPr>
          <w:rFonts w:hint="eastAsia" w:ascii="仿宋_GB2312" w:hAnsi="仿宋_GB2312"/>
        </w:rPr>
        <w:t>采购人在编制政府采购需求时可以设置关于环境保护以及信息保护的技术要求。采购标的存在国际标准的，可根据实际情况采用国际标准。</w:t>
      </w:r>
    </w:p>
    <w:p w14:paraId="5562080D">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rPr>
      </w:pPr>
      <w:bookmarkStart w:id="5" w:name="_Toc6066"/>
      <w:r>
        <w:rPr>
          <w:rFonts w:hint="eastAsia" w:ascii="仿宋_GB2312" w:hAnsi="仿宋_GB2312"/>
        </w:rPr>
        <w:t>（一）编制采购需求时，若针对环境保护、信息保护相关技术指标选用国际标准，要结合项目实际需要组织行业专家开展专项论证，论证完成后按规定对外公示相关内容。</w:t>
      </w:r>
    </w:p>
    <w:p w14:paraId="2CDBCBFF">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rPr>
      </w:pPr>
      <w:r>
        <w:rPr>
          <w:rFonts w:hint="eastAsia" w:ascii="仿宋_GB2312" w:hAnsi="仿宋_GB2312"/>
        </w:rPr>
        <w:t>（二）采购文件中应当清晰标注所采用国际标准的完整编号及对应技术参数，同步附上标准摘要作为配套材料，随同整套采购备案资料统一归档留存。</w:t>
      </w:r>
    </w:p>
    <w:p w14:paraId="072DC98F">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rPr>
      </w:pPr>
      <w:r>
        <w:rPr>
          <w:rFonts w:hint="eastAsia" w:ascii="楷体_GB2312" w:hAnsi="楷体_GB2312" w:eastAsia="楷体_GB2312" w:cs="楷体_GB2312"/>
        </w:rPr>
        <w:t xml:space="preserve">第六条  </w:t>
      </w:r>
      <w:r>
        <w:rPr>
          <w:rFonts w:hint="eastAsia" w:ascii="仿宋_GB2312" w:hAnsi="仿宋_GB2312"/>
        </w:rPr>
        <w:t>采购人有证据证明有关供应商在参与政府采购活动前3年内，履行与采购人或与采购人存在管理关系单位的采购合同时，发生过重大实质性违约且未及时采取合理补救措施的，可以拒绝其参与采购活动，但应当在采购文件中载明。</w:t>
      </w:r>
      <w:bookmarkEnd w:id="5"/>
    </w:p>
    <w:p w14:paraId="029A3737">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rPr>
      </w:pPr>
      <w:bookmarkStart w:id="6" w:name="_Toc26258"/>
      <w:r>
        <w:rPr>
          <w:rFonts w:hint="eastAsia" w:ascii="仿宋_GB2312" w:hAnsi="仿宋_GB2312"/>
        </w:rPr>
        <w:t>（一）</w:t>
      </w:r>
      <w:bookmarkEnd w:id="6"/>
      <w:r>
        <w:rPr>
          <w:rFonts w:hint="eastAsia" w:ascii="仿宋_GB2312" w:hAnsi="仿宋_GB2312"/>
        </w:rPr>
        <w:t>拟适用本条款拒绝供应商参与采购的，必须收集留存违约事实、违约后果、未补救的证据链；必须在采购文件的供应商资格条件章节，明确载明该禁入条款、适用情形及认定标准；对被拒绝参与采购的供应商，须书面告知其拒绝理由及相关证据，保障其陈述申辩权利。</w:t>
      </w:r>
    </w:p>
    <w:p w14:paraId="7144D84C">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rPr>
      </w:pPr>
      <w:bookmarkStart w:id="7" w:name="_Toc31156"/>
      <w:r>
        <w:rPr>
          <w:rFonts w:hint="eastAsia" w:ascii="仿宋_GB2312" w:hAnsi="仿宋_GB2312"/>
        </w:rPr>
        <w:t>（二）</w:t>
      </w:r>
      <w:bookmarkEnd w:id="7"/>
      <w:r>
        <w:rPr>
          <w:rFonts w:hint="eastAsia" w:ascii="仿宋_GB2312" w:hAnsi="仿宋_GB2312"/>
        </w:rPr>
        <w:t>各采购人建立政府采购供应商履约信用档案，推动片区内供应商履约信用信息归集、共享与协同应用。</w:t>
      </w:r>
    </w:p>
    <w:p w14:paraId="792AD8F7">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rPr>
      </w:pPr>
      <w:r>
        <w:rPr>
          <w:rFonts w:hint="eastAsia" w:ascii="楷体_GB2312" w:hAnsi="楷体_GB2312" w:eastAsia="楷体_GB2312" w:cs="楷体_GB2312"/>
        </w:rPr>
        <w:t>第七条</w:t>
      </w:r>
      <w:r>
        <w:rPr>
          <w:rFonts w:hint="eastAsia" w:ascii="仿宋_GB2312" w:hAnsi="仿宋_GB2312"/>
          <w:highlight w:val="none"/>
          <w:lang w:val="en-US" w:eastAsia="zh-CN"/>
        </w:rPr>
        <w:t xml:space="preserve">  </w:t>
      </w:r>
      <w:r>
        <w:rPr>
          <w:rFonts w:hint="eastAsia" w:ascii="仿宋_GB2312" w:hAnsi="仿宋_GB2312"/>
        </w:rPr>
        <w:t>采购人开展政府采购活动，一般应实行公开招标方式竞争。</w:t>
      </w:r>
    </w:p>
    <w:p w14:paraId="68E27067">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rPr>
      </w:pPr>
      <w:r>
        <w:rPr>
          <w:rFonts w:hint="eastAsia" w:ascii="楷体_GB2312" w:hAnsi="楷体_GB2312" w:eastAsia="楷体_GB2312" w:cs="楷体_GB2312"/>
        </w:rPr>
        <w:t xml:space="preserve">第八条 </w:t>
      </w:r>
      <w:r>
        <w:rPr>
          <w:rFonts w:hint="eastAsia" w:ascii="仿宋_GB2312" w:hAnsi="仿宋_GB2312"/>
          <w:highlight w:val="none"/>
        </w:rPr>
        <w:t xml:space="preserve"> </w:t>
      </w:r>
      <w:r>
        <w:rPr>
          <w:rFonts w:hint="eastAsia" w:ascii="仿宋_GB2312" w:hAnsi="仿宋_GB2312"/>
        </w:rPr>
        <w:t>采购人实施邀请招标时，应提前发布相关信息。</w:t>
      </w:r>
      <w:r>
        <w:rPr>
          <w:rFonts w:hint="eastAsia" w:ascii="仿宋_GB2312" w:hAnsi="仿宋_GB2312"/>
          <w:lang w:eastAsia="zh-CN"/>
        </w:rPr>
        <w:t>开展200万元以上的货物、服务采购或5000万元以上的工程采购，采用邀请招标方式的采购人应设定提交资格预审申请文件的最后日期</w:t>
      </w:r>
      <w:r>
        <w:rPr>
          <w:rFonts w:hint="eastAsia" w:ascii="仿宋_GB2312" w:hAnsi="仿宋_GB2312"/>
        </w:rPr>
        <w:t>，一般应自资格预审文件发出之日起不少于25日，紧急情况下不少于10日。</w:t>
      </w:r>
    </w:p>
    <w:p w14:paraId="4AC5A59B">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rPr>
      </w:pPr>
      <w:bookmarkStart w:id="8" w:name="_Toc5474"/>
      <w:r>
        <w:rPr>
          <w:rFonts w:hint="eastAsia" w:ascii="仿宋_GB2312" w:hAnsi="仿宋_GB2312"/>
        </w:rPr>
        <w:t>（一）采用邀请招标方式采购的，采购人必须在发布资格预审公告前，在中国河北政府采购网（http://www.ccgp-hebei.gov.cn）发布采购预告信息，明确项目概况、采购规模、邀请招标实施计划。</w:t>
      </w:r>
    </w:p>
    <w:p w14:paraId="32F89DAD">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rPr>
      </w:pPr>
      <w:r>
        <w:rPr>
          <w:rFonts w:hint="eastAsia" w:ascii="仿宋_GB2312" w:hAnsi="仿宋_GB2312"/>
        </w:rPr>
        <w:t>（二）</w:t>
      </w:r>
      <w:bookmarkEnd w:id="8"/>
      <w:r>
        <w:rPr>
          <w:rFonts w:hint="eastAsia" w:ascii="仿宋_GB2312" w:hAnsi="仿宋_GB2312"/>
        </w:rPr>
        <w:t>采用邀请招标方式的，自资格预审文件发出之日起，一般不得少于25日；属于紧急情况的，须出具紧急情况说明及相关证明材料，经财政局审核同意后，时限可适当缩短，但最短不得少于10日。</w:t>
      </w:r>
    </w:p>
    <w:p w14:paraId="5605C2BD">
      <w:pPr>
        <w:pStyle w:val="12"/>
        <w:keepNext w:val="0"/>
        <w:keepLines w:val="0"/>
        <w:pageBreakBefore w:val="0"/>
        <w:widowControl w:val="0"/>
        <w:kinsoku/>
        <w:wordWrap/>
        <w:overflowPunct/>
        <w:topLinePunct w:val="0"/>
        <w:bidi w:val="0"/>
        <w:snapToGrid/>
        <w:spacing w:line="600" w:lineRule="exact"/>
        <w:ind w:firstLine="628"/>
        <w:textAlignment w:val="auto"/>
        <w:rPr>
          <w:rFonts w:ascii="楷体_GB2312" w:hAnsi="楷体_GB2312" w:eastAsia="楷体_GB2312" w:cs="楷体_GB2312"/>
          <w:highlight w:val="yellow"/>
        </w:rPr>
      </w:pPr>
      <w:bookmarkStart w:id="9" w:name="_Toc29439"/>
      <w:r>
        <w:rPr>
          <w:rFonts w:hint="eastAsia" w:ascii="仿宋_GB2312" w:hAnsi="仿宋_GB2312"/>
        </w:rPr>
        <w:t>（三）</w:t>
      </w:r>
      <w:bookmarkEnd w:id="9"/>
      <w:r>
        <w:rPr>
          <w:rFonts w:hint="eastAsia" w:ascii="仿宋_GB2312" w:hAnsi="仿宋_GB2312"/>
        </w:rPr>
        <w:t>资格预审文件发出时间、申请文件提交截止时间，必须在采购文件中以显著方式载明；采购人不得随意缩短已公告的时限，确需调整的，必须发布变更公告，且调整后的时限不得低于本规范的最低要求。</w:t>
      </w:r>
    </w:p>
    <w:p w14:paraId="22735228">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rPr>
      </w:pPr>
      <w:r>
        <w:rPr>
          <w:rFonts w:hint="eastAsia" w:ascii="楷体_GB2312" w:hAnsi="楷体_GB2312" w:eastAsia="楷体_GB2312" w:cs="楷体_GB2312"/>
        </w:rPr>
        <w:t>第九条</w:t>
      </w:r>
      <w:r>
        <w:rPr>
          <w:rFonts w:hint="eastAsia" w:ascii="楷体_GB2312" w:hAnsi="楷体_GB2312" w:eastAsia="楷体_GB2312" w:cs="楷体_GB2312"/>
          <w:highlight w:val="none"/>
        </w:rPr>
        <w:t xml:space="preserve">  </w:t>
      </w:r>
      <w:r>
        <w:rPr>
          <w:rFonts w:hint="eastAsia" w:ascii="仿宋_GB2312" w:hAnsi="仿宋_GB2312"/>
          <w:highlight w:val="none"/>
        </w:rPr>
        <w:t>采购人实行有限竞争的，</w:t>
      </w:r>
      <w:r>
        <w:rPr>
          <w:rFonts w:hint="eastAsia" w:ascii="仿宋_GB2312" w:hAnsi="仿宋_GB2312"/>
        </w:rPr>
        <w:t>应当发布包括采购人信息、采购说明、资格要求等充分信息的资格预审公告，邀请供应商提交资格预审申请文件。如采购人有意选择有限数量的合格供应商投标，需说明选择供应商的标准和数量限额。</w:t>
      </w:r>
    </w:p>
    <w:p w14:paraId="427BCB58">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rPr>
      </w:pPr>
      <w:bookmarkStart w:id="10" w:name="_Toc29407"/>
      <w:r>
        <w:rPr>
          <w:rFonts w:hint="eastAsia" w:ascii="仿宋_GB2312" w:hAnsi="仿宋_GB2312"/>
        </w:rPr>
        <w:t>（一）有限竞争适用情形：</w:t>
      </w:r>
    </w:p>
    <w:p w14:paraId="15DF3420">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rPr>
      </w:pPr>
      <w:r>
        <w:rPr>
          <w:rFonts w:hint="eastAsia" w:ascii="仿宋_GB2312" w:hAnsi="仿宋_GB2312"/>
        </w:rPr>
        <w:t>1.采购标的因技术特性、资源垄断、行政许可限制等，无法通过公开竞争面向不特定供应商采购，仅少数符合特定资质或具备专属能力的供应商可提供。</w:t>
      </w:r>
    </w:p>
    <w:p w14:paraId="364BA6CE">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rPr>
      </w:pPr>
      <w:r>
        <w:rPr>
          <w:rFonts w:hint="eastAsia" w:ascii="仿宋_GB2312" w:hAnsi="仿宋_GB2312"/>
        </w:rPr>
        <w:t>2.公开招标的组织成本（如招标公告发布、评审专家聘请、文件编制等费用）与采购项目预算金额的比例过高，导致采购效率</w:t>
      </w:r>
      <w:r>
        <w:rPr>
          <w:rFonts w:hint="eastAsia" w:ascii="仿宋_GB2312" w:hAnsi="仿宋_GB2312"/>
          <w:spacing w:val="1"/>
        </w:rPr>
        <w:t>低下、资源浪费，有限竞争可在保证公平的前提下降低采</w:t>
      </w:r>
      <w:r>
        <w:rPr>
          <w:rFonts w:hint="eastAsia" w:ascii="仿宋_GB2312" w:hAnsi="仿宋_GB2312"/>
        </w:rPr>
        <w:t>购成本。</w:t>
      </w:r>
    </w:p>
    <w:p w14:paraId="136035D1">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rPr>
      </w:pPr>
      <w:r>
        <w:rPr>
          <w:rFonts w:hint="eastAsia" w:ascii="仿宋_GB2312" w:hAnsi="仿宋_GB2312"/>
        </w:rPr>
        <w:t>（二）</w:t>
      </w:r>
      <w:bookmarkEnd w:id="10"/>
      <w:r>
        <w:rPr>
          <w:rFonts w:hint="eastAsia" w:ascii="仿宋_GB2312" w:hAnsi="仿宋_GB2312"/>
        </w:rPr>
        <w:t>采购人必须发布资格预审公告，公告必须包含以下核心内容：采购人全称、地址、联系方式；采购项目概况、采购需求、合同主要条款；供应商资格条件、审查标准；资格预审申请文件的编制要求、提交方式、截止时</w:t>
      </w:r>
      <w:r>
        <w:rPr>
          <w:rFonts w:hint="eastAsia" w:ascii="仿宋_GB2312" w:hAnsi="仿宋_GB2312"/>
          <w:spacing w:val="7"/>
        </w:rPr>
        <w:t>间、送达地点；拟选择合格供应商的数量限额及具体选</w:t>
      </w:r>
      <w:r>
        <w:rPr>
          <w:rFonts w:hint="eastAsia" w:ascii="仿宋_GB2312" w:hAnsi="仿宋_GB2312"/>
        </w:rPr>
        <w:t>择标准。</w:t>
      </w:r>
    </w:p>
    <w:p w14:paraId="57856C56">
      <w:pPr>
        <w:pStyle w:val="12"/>
        <w:keepNext w:val="0"/>
        <w:keepLines w:val="0"/>
        <w:pageBreakBefore w:val="0"/>
        <w:widowControl w:val="0"/>
        <w:kinsoku/>
        <w:wordWrap/>
        <w:overflowPunct/>
        <w:topLinePunct w:val="0"/>
        <w:bidi w:val="0"/>
        <w:snapToGrid/>
        <w:spacing w:line="600" w:lineRule="exact"/>
        <w:ind w:left="0" w:leftChars="0" w:firstLine="616" w:firstLineChars="200"/>
        <w:textAlignment w:val="auto"/>
        <w:rPr>
          <w:rFonts w:hint="eastAsia" w:ascii="楷体_GB2312" w:hAnsi="楷体_GB2312" w:eastAsia="楷体_GB2312" w:cs="楷体_GB2312"/>
          <w:highlight w:val="yellow"/>
        </w:rPr>
      </w:pPr>
      <w:bookmarkStart w:id="11" w:name="_Toc18385"/>
      <w:r>
        <w:rPr>
          <w:rFonts w:hint="eastAsia" w:ascii="仿宋_GB2312" w:hAnsi="仿宋_GB2312"/>
        </w:rPr>
        <w:t>（三）</w:t>
      </w:r>
      <w:bookmarkEnd w:id="11"/>
      <w:r>
        <w:rPr>
          <w:rFonts w:hint="eastAsia" w:ascii="仿宋_GB2312" w:hAnsi="仿宋_GB2312"/>
        </w:rPr>
        <w:t>采购人必须按照公告载明的资格审查标准，对所有供应商的申请文件进行客观、公正的评审，不得采用公告未载明的标准进行审查；资格预审结果必须书面告知所有申请人，对未通过审查的供应商，须同步告知未通过理由。</w:t>
      </w:r>
    </w:p>
    <w:p w14:paraId="6C6401D7">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eastAsia="仿宋_GB2312"/>
          <w:highlight w:val="none"/>
          <w:lang w:eastAsia="zh-CN"/>
        </w:rPr>
      </w:pPr>
      <w:r>
        <w:rPr>
          <w:rFonts w:hint="eastAsia" w:ascii="楷体_GB2312" w:hAnsi="楷体_GB2312" w:eastAsia="楷体_GB2312" w:cs="楷体_GB2312"/>
        </w:rPr>
        <w:t>第十条</w:t>
      </w:r>
      <w:r>
        <w:rPr>
          <w:rFonts w:hint="eastAsia" w:ascii="楷体_GB2312" w:hAnsi="楷体_GB2312" w:eastAsia="楷体_GB2312" w:cs="楷体_GB2312"/>
          <w:highlight w:val="none"/>
          <w:lang w:val="en-US" w:eastAsia="zh-CN"/>
        </w:rPr>
        <w:t xml:space="preserve">  </w:t>
      </w:r>
      <w:r>
        <w:rPr>
          <w:rFonts w:hint="eastAsia" w:ascii="仿宋_GB2312" w:hAnsi="仿宋_GB2312"/>
          <w:highlight w:val="none"/>
        </w:rPr>
        <w:t>单一来源方式采购</w:t>
      </w:r>
      <w:r>
        <w:rPr>
          <w:rFonts w:hint="eastAsia" w:ascii="仿宋_GB2312" w:hAnsi="仿宋_GB2312"/>
          <w:highlight w:val="none"/>
          <w:lang w:eastAsia="zh-CN"/>
        </w:rPr>
        <w:t>。</w:t>
      </w:r>
    </w:p>
    <w:p w14:paraId="08BBEC0F">
      <w:pPr>
        <w:pStyle w:val="12"/>
        <w:keepNext w:val="0"/>
        <w:keepLines w:val="0"/>
        <w:pageBreakBefore w:val="0"/>
        <w:widowControl w:val="0"/>
        <w:kinsoku/>
        <w:wordWrap/>
        <w:overflowPunct/>
        <w:topLinePunct w:val="0"/>
        <w:autoSpaceDE/>
        <w:autoSpaceDN/>
        <w:bidi w:val="0"/>
        <w:adjustRightInd/>
        <w:snapToGrid/>
        <w:spacing w:line="600" w:lineRule="exact"/>
        <w:ind w:left="0" w:leftChars="0" w:firstLine="616" w:firstLineChars="200"/>
        <w:textAlignment w:val="auto"/>
        <w:rPr>
          <w:rFonts w:hint="eastAsia" w:ascii="仿宋_GB2312" w:hAnsi="仿宋_GB2312" w:eastAsia="仿宋_GB2312"/>
          <w:lang w:eastAsia="zh-CN"/>
        </w:rPr>
      </w:pPr>
      <w:r>
        <w:rPr>
          <w:rFonts w:hint="eastAsia" w:ascii="仿宋_GB2312" w:hAnsi="仿宋_GB2312"/>
          <w:lang w:eastAsia="zh-CN"/>
        </w:rPr>
        <w:t>（</w:t>
      </w:r>
      <w:r>
        <w:rPr>
          <w:rFonts w:hint="eastAsia" w:ascii="仿宋_GB2312" w:hAnsi="仿宋_GB2312"/>
          <w:lang w:val="en-US" w:eastAsia="zh-CN"/>
        </w:rPr>
        <w:t>一</w:t>
      </w:r>
      <w:r>
        <w:rPr>
          <w:rFonts w:hint="eastAsia" w:ascii="仿宋_GB2312" w:hAnsi="仿宋_GB2312"/>
          <w:lang w:eastAsia="zh-CN"/>
        </w:rPr>
        <w:t>）</w:t>
      </w:r>
      <w:r>
        <w:rPr>
          <w:rFonts w:hint="eastAsia" w:ascii="仿宋_GB2312" w:hAnsi="仿宋_GB2312"/>
        </w:rPr>
        <w:t>符合以下条件的，可以采用单一来源方式采购</w:t>
      </w:r>
      <w:r>
        <w:rPr>
          <w:rFonts w:hint="eastAsia" w:ascii="仿宋_GB2312" w:hAnsi="仿宋_GB2312"/>
          <w:lang w:eastAsia="zh-CN"/>
        </w:rPr>
        <w:t>：</w:t>
      </w:r>
    </w:p>
    <w:p w14:paraId="5D4DFB56">
      <w:pPr>
        <w:pStyle w:val="12"/>
        <w:keepNext w:val="0"/>
        <w:keepLines w:val="0"/>
        <w:pageBreakBefore w:val="0"/>
        <w:widowControl w:val="0"/>
        <w:kinsoku/>
        <w:wordWrap/>
        <w:overflowPunct/>
        <w:topLinePunct w:val="0"/>
        <w:autoSpaceDE/>
        <w:autoSpaceDN/>
        <w:bidi w:val="0"/>
        <w:adjustRightInd/>
        <w:snapToGrid/>
        <w:spacing w:line="600" w:lineRule="exact"/>
        <w:ind w:left="0" w:leftChars="0" w:firstLine="616" w:firstLineChars="200"/>
        <w:textAlignment w:val="auto"/>
        <w:rPr>
          <w:rFonts w:hint="eastAsia" w:ascii="仿宋_GB2312" w:hAnsi="仿宋_GB2312"/>
        </w:rPr>
      </w:pPr>
      <w:r>
        <w:rPr>
          <w:rFonts w:hint="eastAsia" w:ascii="仿宋_GB2312" w:hAnsi="仿宋_GB2312"/>
          <w:lang w:val="en-US" w:eastAsia="zh-CN"/>
        </w:rPr>
        <w:t>1.</w:t>
      </w:r>
      <w:r>
        <w:rPr>
          <w:rFonts w:hint="eastAsia" w:ascii="仿宋_GB2312" w:hAnsi="仿宋_GB2312"/>
        </w:rPr>
        <w:t>只能由特定供应商提供</w:t>
      </w:r>
      <w:r>
        <w:rPr>
          <w:rFonts w:hint="eastAsia" w:ascii="仿宋_GB2312" w:hAnsi="仿宋_GB2312"/>
          <w:lang w:eastAsia="zh-CN"/>
        </w:rPr>
        <w:t>。</w:t>
      </w:r>
      <w:r>
        <w:rPr>
          <w:rFonts w:hint="eastAsia" w:ascii="仿宋_GB2312" w:hAnsi="仿宋_GB2312"/>
        </w:rPr>
        <w:t>因专利、专有技术导致不可替代的货物或服务，使用不可替代的发明专利、实用新型专利、专有技术、核心源代码、独家算法</w:t>
      </w:r>
      <w:r>
        <w:rPr>
          <w:rFonts w:hint="eastAsia" w:ascii="仿宋_GB2312" w:hAnsi="仿宋_GB2312"/>
          <w:lang w:eastAsia="zh-CN"/>
        </w:rPr>
        <w:t>，</w:t>
      </w:r>
      <w:r>
        <w:rPr>
          <w:rFonts w:hint="eastAsia" w:ascii="仿宋_GB2312" w:hAnsi="仿宋_GB2312"/>
        </w:rPr>
        <w:t>非该供应商无法实现功能、性能、精度、安全、认证等要求。公共服务项目特殊要求涉及公共利益、国家安全、行业监管、专属资源、法定职能等，依法由特定主体提供。</w:t>
      </w:r>
    </w:p>
    <w:p w14:paraId="5E265D89">
      <w:pPr>
        <w:pStyle w:val="12"/>
        <w:keepNext w:val="0"/>
        <w:keepLines w:val="0"/>
        <w:pageBreakBefore w:val="0"/>
        <w:widowControl w:val="0"/>
        <w:kinsoku/>
        <w:wordWrap/>
        <w:overflowPunct/>
        <w:topLinePunct w:val="0"/>
        <w:autoSpaceDE/>
        <w:autoSpaceDN/>
        <w:bidi w:val="0"/>
        <w:adjustRightInd/>
        <w:snapToGrid/>
        <w:spacing w:line="600" w:lineRule="exact"/>
        <w:ind w:left="0" w:leftChars="0" w:firstLine="616" w:firstLineChars="200"/>
        <w:textAlignment w:val="auto"/>
        <w:rPr>
          <w:rFonts w:hint="eastAsia" w:ascii="仿宋_GB2312" w:hAnsi="仿宋_GB2312"/>
          <w:lang w:val="en-US" w:eastAsia="zh-CN"/>
        </w:rPr>
      </w:pPr>
      <w:r>
        <w:rPr>
          <w:rFonts w:hint="eastAsia" w:ascii="仿宋_GB2312" w:hAnsi="仿宋_GB2312"/>
          <w:lang w:val="en-US" w:eastAsia="zh-CN"/>
        </w:rPr>
        <w:t>2.</w:t>
      </w:r>
      <w:r>
        <w:rPr>
          <w:rFonts w:hint="eastAsia" w:ascii="仿宋_GB2312" w:hAnsi="仿宋_GB2312"/>
          <w:lang w:eastAsia="zh-CN"/>
        </w:rPr>
        <w:t>为保持技术一致性或避免重新采购，对原采购进行补充采购。为保证系统稳定、数据安全、接口匹配、质量一致或避免重复采购，对原采购项目进行补充采购，属于原有项目的功能扩展、升级、兼容、配件、维保，须保证原有采购项目一致性或者满足服务配套的要求，需要继续从原供应商处添购，且添购资金总额不超过原合同采购金额百分之十的。</w:t>
      </w:r>
      <w:r>
        <w:rPr>
          <w:rFonts w:hint="eastAsia" w:ascii="仿宋_GB2312" w:hAnsi="仿宋_GB2312"/>
        </w:rPr>
        <w:cr/>
      </w:r>
      <w:r>
        <w:rPr>
          <w:rFonts w:hint="eastAsia" w:ascii="仿宋_GB2312" w:hAnsi="仿宋_GB2312"/>
          <w:lang w:val="en-US" w:eastAsia="zh-CN"/>
        </w:rPr>
        <w:t xml:space="preserve">    3.有限试用或委托研发的首创性货物及服务。属于新技术、新产品、新工艺、新服务，尚无成熟市场化产品，用于试点、试验、科研攻关、原型开发、小批量试用。只能委托具备特定研发能力、技术基础的供应商实施。</w:t>
      </w:r>
    </w:p>
    <w:p w14:paraId="38CFF0F7">
      <w:pPr>
        <w:pStyle w:val="12"/>
        <w:keepNext w:val="0"/>
        <w:keepLines w:val="0"/>
        <w:pageBreakBefore w:val="0"/>
        <w:widowControl w:val="0"/>
        <w:kinsoku/>
        <w:wordWrap/>
        <w:overflowPunct/>
        <w:topLinePunct w:val="0"/>
        <w:autoSpaceDE/>
        <w:autoSpaceDN/>
        <w:bidi w:val="0"/>
        <w:adjustRightInd/>
        <w:snapToGrid/>
        <w:spacing w:line="600" w:lineRule="exact"/>
        <w:ind w:left="0" w:leftChars="0" w:firstLine="616" w:firstLineChars="200"/>
        <w:textAlignment w:val="auto"/>
        <w:rPr>
          <w:rFonts w:hint="eastAsia" w:ascii="仿宋_GB2312" w:hAnsi="仿宋_GB2312"/>
        </w:rPr>
      </w:pPr>
      <w:r>
        <w:rPr>
          <w:rFonts w:hint="eastAsia" w:ascii="仿宋_GB2312" w:hAnsi="仿宋_GB2312"/>
          <w:lang w:val="en-US" w:eastAsia="zh-CN"/>
        </w:rPr>
        <w:t>4.</w:t>
      </w:r>
      <w:r>
        <w:rPr>
          <w:rFonts w:hint="eastAsia" w:ascii="仿宋_GB2312" w:hAnsi="仿宋_GB2312"/>
        </w:rPr>
        <w:t>发生不可预见的紧急情况，不能从其他供应商处采购</w:t>
      </w:r>
      <w:r>
        <w:rPr>
          <w:rFonts w:hint="eastAsia" w:ascii="仿宋_GB2312" w:hAnsi="仿宋_GB2312"/>
          <w:lang w:val="en-US" w:eastAsia="zh-CN"/>
        </w:rPr>
        <w:t>的</w:t>
      </w:r>
      <w:r>
        <w:rPr>
          <w:rFonts w:hint="eastAsia" w:ascii="仿宋_GB2312" w:hAnsi="仿宋_GB2312"/>
        </w:rPr>
        <w:t>。</w:t>
      </w:r>
    </w:p>
    <w:p w14:paraId="00DF4417">
      <w:pPr>
        <w:pStyle w:val="12"/>
        <w:keepNext w:val="0"/>
        <w:keepLines w:val="0"/>
        <w:pageBreakBefore w:val="0"/>
        <w:widowControl w:val="0"/>
        <w:kinsoku/>
        <w:wordWrap/>
        <w:overflowPunct/>
        <w:topLinePunct w:val="0"/>
        <w:autoSpaceDE/>
        <w:autoSpaceDN/>
        <w:bidi w:val="0"/>
        <w:adjustRightInd/>
        <w:snapToGrid/>
        <w:spacing w:line="600" w:lineRule="exact"/>
        <w:ind w:left="0" w:leftChars="0" w:firstLine="616" w:firstLineChars="200"/>
        <w:textAlignment w:val="auto"/>
        <w:rPr>
          <w:rFonts w:hint="eastAsia" w:ascii="仿宋_GB2312" w:hAnsi="仿宋_GB2312"/>
          <w:lang w:val="en-US" w:eastAsia="zh-CN"/>
        </w:rPr>
      </w:pPr>
      <w:r>
        <w:rPr>
          <w:rFonts w:hint="eastAsia" w:ascii="仿宋_GB2312" w:hAnsi="仿宋_GB2312"/>
          <w:lang w:val="en-US" w:eastAsia="zh-CN"/>
        </w:rPr>
        <w:t>5.</w:t>
      </w:r>
      <w:r>
        <w:rPr>
          <w:rFonts w:hint="eastAsia" w:ascii="仿宋_GB2312" w:hAnsi="仿宋_GB2312"/>
        </w:rPr>
        <w:t>采用公开招标的货物、服务项目，投标截止后投标人只有1家或者通过资格审查或符合性审查的投标人只有1家，需要采用单一来源方式采购的。</w:t>
      </w:r>
      <w:r>
        <w:rPr>
          <w:rFonts w:hint="eastAsia" w:ascii="仿宋_GB2312" w:hAnsi="仿宋_GB2312"/>
          <w:lang w:eastAsia="zh-CN"/>
        </w:rPr>
        <w:t>公开招标失败后拟采用单一来源方式</w:t>
      </w:r>
      <w:r>
        <w:rPr>
          <w:rFonts w:hint="eastAsia" w:ascii="仿宋_GB2312" w:hAnsi="仿宋_GB2312"/>
        </w:rPr>
        <w:t>，采购人应当依法报财政部门批准，且不得对原招标文件的要求作实质性修改。</w:t>
      </w:r>
      <w:r>
        <w:rPr>
          <w:rFonts w:hint="eastAsia" w:ascii="仿宋_GB2312" w:hAnsi="仿宋_GB2312"/>
          <w:lang w:val="en-US" w:eastAsia="zh-CN"/>
        </w:rPr>
        <w:cr/>
      </w:r>
      <w:r>
        <w:rPr>
          <w:rFonts w:hint="eastAsia" w:ascii="仿宋_GB2312" w:hAnsi="仿宋_GB2312"/>
          <w:lang w:val="en-US" w:eastAsia="zh-CN"/>
        </w:rPr>
        <w:t xml:space="preserve">   （二）采购人采用单一来源方式采购的程序：</w:t>
      </w:r>
    </w:p>
    <w:p w14:paraId="79B4787D">
      <w:pPr>
        <w:pStyle w:val="12"/>
        <w:keepNext w:val="0"/>
        <w:keepLines w:val="0"/>
        <w:pageBreakBefore w:val="0"/>
        <w:widowControl w:val="0"/>
        <w:kinsoku/>
        <w:wordWrap/>
        <w:overflowPunct/>
        <w:topLinePunct w:val="0"/>
        <w:autoSpaceDE/>
        <w:autoSpaceDN/>
        <w:bidi w:val="0"/>
        <w:adjustRightInd/>
        <w:snapToGrid/>
        <w:spacing w:line="600" w:lineRule="exact"/>
        <w:ind w:left="0" w:leftChars="0" w:firstLine="616" w:firstLineChars="200"/>
        <w:textAlignment w:val="auto"/>
        <w:rPr>
          <w:rFonts w:hint="eastAsia" w:ascii="仿宋_GB2312" w:hAnsi="仿宋_GB2312"/>
          <w:lang w:val="en-US" w:eastAsia="zh-CN"/>
        </w:rPr>
      </w:pPr>
      <w:bookmarkStart w:id="12" w:name="_Toc3961"/>
      <w:bookmarkStart w:id="13" w:name="_Toc23833"/>
      <w:r>
        <w:rPr>
          <w:rFonts w:hint="eastAsia" w:ascii="仿宋_GB2312" w:hAnsi="仿宋_GB2312"/>
          <w:lang w:val="en-US" w:eastAsia="zh-CN"/>
        </w:rPr>
        <w:t>1.未达到公开招标数额标准，符合只能从唯一供应商处采购的政府采购项目，可以依法采用单一来源方式采购。对于此类采购项目，采购人、采购代理机构应当严格按照国家有关规定，组织具有相关经验的专业人员与供应商商定合理的成交价格并保证采购项目质量，做好协商情况记录。</w:t>
      </w:r>
    </w:p>
    <w:p w14:paraId="7121328B">
      <w:pPr>
        <w:pStyle w:val="12"/>
        <w:keepNext w:val="0"/>
        <w:keepLines w:val="0"/>
        <w:pageBreakBefore w:val="0"/>
        <w:widowControl w:val="0"/>
        <w:kinsoku/>
        <w:wordWrap/>
        <w:overflowPunct/>
        <w:topLinePunct w:val="0"/>
        <w:bidi w:val="0"/>
        <w:snapToGrid/>
        <w:spacing w:line="600" w:lineRule="exact"/>
        <w:ind w:left="0" w:leftChars="0" w:firstLine="616" w:firstLineChars="200"/>
        <w:textAlignment w:val="auto"/>
        <w:rPr>
          <w:rFonts w:hint="eastAsia" w:ascii="仿宋_GB2312" w:hAnsi="仿宋_GB2312"/>
          <w:lang w:val="en-US" w:eastAsia="zh-CN"/>
        </w:rPr>
      </w:pPr>
      <w:r>
        <w:rPr>
          <w:rFonts w:hint="eastAsia" w:ascii="仿宋_GB2312" w:hAnsi="仿宋_GB2312"/>
          <w:lang w:val="en-US" w:eastAsia="zh-CN"/>
        </w:rPr>
        <w:t>2.达到公开招标数额标准，拟采用单一来源方式采购的，采购人报财政部门批准之前，应当在省级以上财政部门指定媒体上公示，并将公示情况一并报财政部门。公示期不得少于5个工作日，公示内容应当包括：</w:t>
      </w:r>
    </w:p>
    <w:p w14:paraId="6D38F888">
      <w:pPr>
        <w:pStyle w:val="12"/>
        <w:keepNext w:val="0"/>
        <w:keepLines w:val="0"/>
        <w:pageBreakBefore w:val="0"/>
        <w:widowControl w:val="0"/>
        <w:kinsoku/>
        <w:wordWrap/>
        <w:overflowPunct/>
        <w:topLinePunct w:val="0"/>
        <w:bidi w:val="0"/>
        <w:snapToGrid/>
        <w:spacing w:line="600" w:lineRule="exact"/>
        <w:ind w:left="0" w:leftChars="0" w:firstLine="616" w:firstLineChars="200"/>
        <w:textAlignment w:val="auto"/>
        <w:rPr>
          <w:rFonts w:hint="eastAsia" w:ascii="仿宋_GB2312" w:hAnsi="仿宋_GB2312"/>
          <w:lang w:val="en-US" w:eastAsia="zh-CN"/>
        </w:rPr>
      </w:pPr>
      <w:r>
        <w:rPr>
          <w:rFonts w:hint="eastAsia" w:ascii="仿宋_GB2312" w:hAnsi="仿宋_GB2312"/>
          <w:lang w:val="en-US" w:eastAsia="zh-CN"/>
        </w:rPr>
        <w:t>（1）采购人、采购项目名称和内容；</w:t>
      </w:r>
    </w:p>
    <w:p w14:paraId="30B5BD06">
      <w:pPr>
        <w:pStyle w:val="12"/>
        <w:keepNext w:val="0"/>
        <w:keepLines w:val="0"/>
        <w:pageBreakBefore w:val="0"/>
        <w:widowControl w:val="0"/>
        <w:kinsoku/>
        <w:wordWrap/>
        <w:overflowPunct/>
        <w:topLinePunct w:val="0"/>
        <w:bidi w:val="0"/>
        <w:snapToGrid/>
        <w:spacing w:line="600" w:lineRule="exact"/>
        <w:ind w:left="0" w:leftChars="0" w:firstLine="616" w:firstLineChars="200"/>
        <w:textAlignment w:val="auto"/>
        <w:rPr>
          <w:rFonts w:hint="eastAsia" w:ascii="仿宋_GB2312" w:hAnsi="仿宋_GB2312"/>
          <w:lang w:val="en-US" w:eastAsia="zh-CN"/>
        </w:rPr>
      </w:pPr>
      <w:r>
        <w:rPr>
          <w:rFonts w:hint="eastAsia" w:ascii="仿宋_GB2312" w:hAnsi="仿宋_GB2312"/>
          <w:lang w:val="en-US" w:eastAsia="zh-CN"/>
        </w:rPr>
        <w:t>（2）拟采购的货物或者服务的说明；</w:t>
      </w:r>
    </w:p>
    <w:p w14:paraId="4F62AC96">
      <w:pPr>
        <w:pStyle w:val="12"/>
        <w:keepNext w:val="0"/>
        <w:keepLines w:val="0"/>
        <w:pageBreakBefore w:val="0"/>
        <w:widowControl w:val="0"/>
        <w:kinsoku/>
        <w:wordWrap/>
        <w:overflowPunct/>
        <w:topLinePunct w:val="0"/>
        <w:bidi w:val="0"/>
        <w:snapToGrid/>
        <w:spacing w:line="600" w:lineRule="exact"/>
        <w:ind w:left="0" w:leftChars="0" w:firstLine="616" w:firstLineChars="200"/>
        <w:textAlignment w:val="auto"/>
        <w:rPr>
          <w:rFonts w:hint="eastAsia" w:ascii="仿宋_GB2312" w:hAnsi="仿宋_GB2312"/>
          <w:lang w:val="en-US" w:eastAsia="zh-CN"/>
        </w:rPr>
      </w:pPr>
      <w:r>
        <w:rPr>
          <w:rFonts w:hint="eastAsia" w:ascii="仿宋_GB2312" w:hAnsi="仿宋_GB2312"/>
          <w:lang w:val="en-US" w:eastAsia="zh-CN"/>
        </w:rPr>
        <w:t>（3）采用单一来源方式采购的原因及相关说明；</w:t>
      </w:r>
    </w:p>
    <w:p w14:paraId="73D9BC93">
      <w:pPr>
        <w:pStyle w:val="12"/>
        <w:keepNext w:val="0"/>
        <w:keepLines w:val="0"/>
        <w:pageBreakBefore w:val="0"/>
        <w:widowControl w:val="0"/>
        <w:kinsoku/>
        <w:wordWrap/>
        <w:overflowPunct/>
        <w:topLinePunct w:val="0"/>
        <w:bidi w:val="0"/>
        <w:snapToGrid/>
        <w:spacing w:line="600" w:lineRule="exact"/>
        <w:ind w:left="0" w:leftChars="0" w:firstLine="616" w:firstLineChars="200"/>
        <w:textAlignment w:val="auto"/>
        <w:rPr>
          <w:rFonts w:hint="eastAsia" w:ascii="仿宋_GB2312" w:hAnsi="仿宋_GB2312"/>
          <w:lang w:val="en-US" w:eastAsia="zh-CN"/>
        </w:rPr>
      </w:pPr>
      <w:r>
        <w:rPr>
          <w:rFonts w:hint="eastAsia" w:ascii="仿宋_GB2312" w:hAnsi="仿宋_GB2312"/>
          <w:lang w:val="en-US" w:eastAsia="zh-CN"/>
        </w:rPr>
        <w:t>（4）拟定的唯一供应商名称、地址；</w:t>
      </w:r>
    </w:p>
    <w:p w14:paraId="75040C05">
      <w:pPr>
        <w:pStyle w:val="12"/>
        <w:keepNext w:val="0"/>
        <w:keepLines w:val="0"/>
        <w:pageBreakBefore w:val="0"/>
        <w:widowControl w:val="0"/>
        <w:kinsoku/>
        <w:wordWrap/>
        <w:overflowPunct/>
        <w:topLinePunct w:val="0"/>
        <w:bidi w:val="0"/>
        <w:snapToGrid/>
        <w:spacing w:line="600" w:lineRule="exact"/>
        <w:ind w:left="0" w:leftChars="0" w:firstLine="616" w:firstLineChars="200"/>
        <w:textAlignment w:val="auto"/>
        <w:rPr>
          <w:rFonts w:hint="eastAsia" w:ascii="仿宋_GB2312" w:hAnsi="仿宋_GB2312"/>
          <w:lang w:val="en-US" w:eastAsia="zh-CN"/>
        </w:rPr>
      </w:pPr>
      <w:r>
        <w:rPr>
          <w:rFonts w:hint="eastAsia" w:ascii="仿宋_GB2312" w:hAnsi="仿宋_GB2312"/>
          <w:lang w:val="en-US" w:eastAsia="zh-CN"/>
        </w:rPr>
        <w:t>（5）专业人员对相关供应商因专利、专有技术等原因具有唯一性的具体论证意见，以及专业人员的姓名、工作单位和职称；公开招标失败后申请变更为单一来源方式采购的，还应包括评审专家和代理机构分别出具的招标文件无歧视性条款、招标程序符合规定、招标过程未受质疑相关意见材料；</w:t>
      </w:r>
      <w:r>
        <w:rPr>
          <w:rFonts w:hint="eastAsia" w:ascii="仿宋_GB2312" w:hAnsi="仿宋_GB2312"/>
          <w:lang w:val="en-US" w:eastAsia="zh-CN"/>
        </w:rPr>
        <w:cr/>
      </w:r>
      <w:r>
        <w:rPr>
          <w:rFonts w:hint="eastAsia" w:ascii="仿宋_GB2312" w:hAnsi="仿宋_GB2312"/>
          <w:lang w:val="en-US" w:eastAsia="zh-CN"/>
        </w:rPr>
        <w:t xml:space="preserve">    （6）公示的期限；</w:t>
      </w:r>
    </w:p>
    <w:p w14:paraId="57D7243D">
      <w:pPr>
        <w:pStyle w:val="12"/>
        <w:keepNext w:val="0"/>
        <w:keepLines w:val="0"/>
        <w:pageBreakBefore w:val="0"/>
        <w:widowControl w:val="0"/>
        <w:kinsoku/>
        <w:wordWrap/>
        <w:overflowPunct/>
        <w:topLinePunct w:val="0"/>
        <w:bidi w:val="0"/>
        <w:snapToGrid/>
        <w:spacing w:line="600" w:lineRule="exact"/>
        <w:ind w:left="0" w:leftChars="0" w:firstLine="616" w:firstLineChars="200"/>
        <w:textAlignment w:val="auto"/>
        <w:rPr>
          <w:rFonts w:hint="eastAsia" w:ascii="仿宋_GB2312" w:hAnsi="仿宋_GB2312"/>
          <w:lang w:val="en-US" w:eastAsia="zh-CN"/>
        </w:rPr>
      </w:pPr>
      <w:r>
        <w:rPr>
          <w:rFonts w:hint="eastAsia" w:ascii="仿宋_GB2312" w:hAnsi="仿宋_GB2312"/>
          <w:lang w:val="en-US" w:eastAsia="zh-CN"/>
        </w:rPr>
        <w:t>（7）采购人、采购代理机构、财政部门的联系地址、联系人和联系电话。</w:t>
      </w:r>
    </w:p>
    <w:p w14:paraId="1DF0E97B">
      <w:pPr>
        <w:pStyle w:val="12"/>
        <w:keepNext w:val="0"/>
        <w:keepLines w:val="0"/>
        <w:pageBreakBefore w:val="0"/>
        <w:widowControl w:val="0"/>
        <w:kinsoku/>
        <w:wordWrap/>
        <w:overflowPunct/>
        <w:topLinePunct w:val="0"/>
        <w:bidi w:val="0"/>
        <w:snapToGrid/>
        <w:spacing w:line="600" w:lineRule="exact"/>
        <w:ind w:left="0" w:leftChars="0" w:firstLine="616" w:firstLineChars="200"/>
        <w:textAlignment w:val="auto"/>
        <w:rPr>
          <w:rFonts w:hint="eastAsia" w:ascii="仿宋_GB2312" w:hAnsi="仿宋_GB2312"/>
          <w:lang w:val="en-US" w:eastAsia="zh-CN"/>
        </w:rPr>
      </w:pPr>
      <w:r>
        <w:rPr>
          <w:rFonts w:hint="eastAsia" w:ascii="仿宋_GB2312" w:hAnsi="仿宋_GB2312"/>
          <w:lang w:val="en-US" w:eastAsia="zh-CN"/>
        </w:rPr>
        <w:t>公示期内采购人、采购代理机构收到对采用单一来源方式采购公示的异议后，应当在公示期满后5个工作日内，组织补充论证，论证后认为异议成立的，应当依法采取其他方式采购；论证后认为异议不成立的，应当将补充论证的结论告知提出异议的供应商、单位或者个人，同时将异议意见、论证意见与公示情况一并报财政部门。</w:t>
      </w:r>
    </w:p>
    <w:p w14:paraId="7CEACCC8">
      <w:pPr>
        <w:pStyle w:val="12"/>
        <w:keepNext w:val="0"/>
        <w:keepLines w:val="0"/>
        <w:pageBreakBefore w:val="0"/>
        <w:widowControl w:val="0"/>
        <w:kinsoku/>
        <w:wordWrap/>
        <w:overflowPunct/>
        <w:topLinePunct w:val="0"/>
        <w:bidi w:val="0"/>
        <w:snapToGrid/>
        <w:spacing w:line="600" w:lineRule="exact"/>
        <w:ind w:left="0" w:leftChars="0" w:firstLine="616" w:firstLineChars="200"/>
        <w:textAlignment w:val="auto"/>
        <w:rPr>
          <w:rFonts w:hint="eastAsia" w:ascii="仿宋_GB2312" w:hAnsi="仿宋_GB2312"/>
          <w:lang w:val="en-US" w:eastAsia="zh-CN"/>
        </w:rPr>
      </w:pPr>
      <w:r>
        <w:rPr>
          <w:rFonts w:hint="eastAsia" w:ascii="仿宋_GB2312" w:hAnsi="仿宋_GB2312"/>
          <w:lang w:val="en-US" w:eastAsia="zh-CN"/>
        </w:rPr>
        <w:t>3.财政部门收到主管预算单位提交的单一来源方式采购申请后，应当及时对申请材料的完整性、程序的完备性进行符合性审查。申请理由和申请材料符合《实施细则》规定的，予以批复；申请材料不符合《实施细则》规定的，财政部门应当及时通知主管预算单位修改补充；申请理由不符合《实施细则》的，财政部门应当及时予以答复，并将不予批复的理由告知主管预算单位。</w:t>
      </w:r>
    </w:p>
    <w:p w14:paraId="241FE5F0">
      <w:pPr>
        <w:pStyle w:val="12"/>
        <w:keepNext w:val="0"/>
        <w:keepLines w:val="0"/>
        <w:pageBreakBefore w:val="0"/>
        <w:widowControl w:val="0"/>
        <w:kinsoku/>
        <w:wordWrap/>
        <w:overflowPunct/>
        <w:topLinePunct w:val="0"/>
        <w:bidi w:val="0"/>
        <w:snapToGrid/>
        <w:spacing w:line="600" w:lineRule="exact"/>
        <w:ind w:left="0" w:leftChars="0" w:firstLine="616" w:firstLineChars="200"/>
        <w:textAlignment w:val="auto"/>
        <w:rPr>
          <w:rFonts w:hint="eastAsia" w:ascii="仿宋_GB2312" w:hAnsi="仿宋_GB2312"/>
          <w:lang w:val="en-US" w:eastAsia="zh-CN"/>
        </w:rPr>
      </w:pPr>
      <w:r>
        <w:rPr>
          <w:rFonts w:hint="eastAsia" w:ascii="仿宋_GB2312" w:hAnsi="仿宋_GB2312"/>
          <w:lang w:val="en-US" w:eastAsia="zh-CN"/>
        </w:rPr>
        <w:t>4.组织单一来源采购协商。采购人、采购代理机构应当组织具有相关经验的专业人员与供应商商定合理的成交价格并保证采购项目质量。单一来源采购人员应当编写协商情况记录，由采购全体人员签字认可。</w:t>
      </w:r>
    </w:p>
    <w:p w14:paraId="276B9282">
      <w:pPr>
        <w:pStyle w:val="12"/>
        <w:keepNext w:val="0"/>
        <w:keepLines w:val="0"/>
        <w:pageBreakBefore w:val="0"/>
        <w:widowControl w:val="0"/>
        <w:kinsoku/>
        <w:wordWrap/>
        <w:overflowPunct/>
        <w:topLinePunct w:val="0"/>
        <w:bidi w:val="0"/>
        <w:snapToGrid/>
        <w:spacing w:line="600" w:lineRule="exact"/>
        <w:ind w:left="0" w:leftChars="0" w:firstLine="616" w:firstLineChars="200"/>
        <w:textAlignment w:val="auto"/>
        <w:rPr>
          <w:rFonts w:hint="eastAsia" w:ascii="仿宋_GB2312" w:hAnsi="仿宋_GB2312"/>
          <w:lang w:val="en-US" w:eastAsia="zh-CN"/>
        </w:rPr>
      </w:pPr>
      <w:r>
        <w:rPr>
          <w:rFonts w:hint="eastAsia" w:ascii="仿宋_GB2312" w:hAnsi="仿宋_GB2312"/>
          <w:lang w:val="en-US" w:eastAsia="zh-CN"/>
        </w:rPr>
        <w:t>5.发布采购成交结果公告。采购人或采购代理机构应当自成交供应商确定之日起2个工作日内，在河北政府采购网公告成交结果，详细说明采用单一来源采购方式的具体理由、对应适用情形、论证结论，不得简略表述，同时发出成交通知书。</w:t>
      </w:r>
    </w:p>
    <w:bookmarkEnd w:id="12"/>
    <w:bookmarkEnd w:id="13"/>
    <w:p w14:paraId="4A3FBF57">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rPr>
      </w:pPr>
      <w:r>
        <w:rPr>
          <w:rFonts w:hint="eastAsia" w:ascii="楷体_GB2312" w:hAnsi="楷体_GB2312" w:eastAsia="楷体_GB2312" w:cs="楷体_GB2312"/>
        </w:rPr>
        <w:t xml:space="preserve">第十一条  </w:t>
      </w:r>
      <w:r>
        <w:rPr>
          <w:rFonts w:hint="eastAsia" w:ascii="仿宋_GB2312" w:hAnsi="仿宋_GB2312"/>
        </w:rPr>
        <w:t>政府采购实施招标时，采购人设定提交投标文件的最后日期，一般应自招标文件发出之日起不少于40日</w:t>
      </w:r>
      <w:r>
        <w:rPr>
          <w:rFonts w:hint="eastAsia" w:ascii="仿宋_GB2312" w:hAnsi="仿宋_GB2312"/>
          <w:lang w:eastAsia="zh-CN"/>
        </w:rPr>
        <w:t>；</w:t>
      </w:r>
      <w:r>
        <w:rPr>
          <w:rFonts w:hint="eastAsia" w:ascii="仿宋_GB2312" w:hAnsi="仿宋_GB2312"/>
        </w:rPr>
        <w:t>符合特殊情形的，可以适当缩短期限，但不得少于10日。</w:t>
      </w:r>
    </w:p>
    <w:p w14:paraId="0A9C4E64">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rPr>
      </w:pPr>
      <w:r>
        <w:rPr>
          <w:rFonts w:hint="eastAsia" w:ascii="仿宋_GB2312" w:hAnsi="仿宋_GB2312"/>
        </w:rPr>
        <w:t xml:space="preserve">（一）在招标文件发出前至少40日已完整、准确公布采购意向的，财政部门依托政府采购系统实施流程核查双把关，事前严把公告公示时限关口，不足40日且无紧急事由的不予上线公示；事后对满40日完成备案的项目复核校验，确保严格落实40日公示时限要求。   </w:t>
      </w:r>
    </w:p>
    <w:p w14:paraId="29780761">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rPr>
      </w:pPr>
      <w:r>
        <w:rPr>
          <w:rFonts w:hint="eastAsia" w:ascii="仿宋_GB2312" w:hAnsi="仿宋_GB2312"/>
        </w:rPr>
        <w:t>（二）因不可预见的原因急需开展的采购项目，经</w:t>
      </w:r>
      <w:r>
        <w:rPr>
          <w:rFonts w:hint="eastAsia"/>
        </w:rPr>
        <w:t>管委会领导审批后报备至财政部门，可</w:t>
      </w:r>
      <w:r>
        <w:rPr>
          <w:rFonts w:hint="eastAsia" w:ascii="仿宋_GB2312" w:hAnsi="仿宋_GB2312"/>
        </w:rPr>
        <w:t>适当缩短采购期限，但不得低于10日。紧急状态适用于自然灾害及其衍生应急场景、公共卫生应急场景以及其他能够证明构成紧急状态的情形。</w:t>
      </w:r>
    </w:p>
    <w:p w14:paraId="7CBFDECA">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rPr>
      </w:pPr>
      <w:r>
        <w:rPr>
          <w:rFonts w:hint="eastAsia" w:ascii="仿宋_GB2312" w:hAnsi="仿宋_GB2312"/>
        </w:rPr>
        <w:t>（三）采购人拟缩短投标时限的，必须在招标文件中明确载明缩短时限的对应情形、事实依据及证明材料，随招标文件同步发布；招标文件发出后，不得随意调整投标截止时间，确需调整的，必须提前发布变更公告。</w:t>
      </w:r>
    </w:p>
    <w:p w14:paraId="67D2E151">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kern w:val="2"/>
        </w:rPr>
      </w:pPr>
      <w:r>
        <w:rPr>
          <w:rFonts w:hint="eastAsia" w:ascii="楷体_GB2312" w:hAnsi="楷体_GB2312" w:eastAsia="楷体_GB2312" w:cs="楷体_GB2312"/>
        </w:rPr>
        <w:t xml:space="preserve">第十二条  </w:t>
      </w:r>
      <w:r>
        <w:rPr>
          <w:rFonts w:hint="eastAsia" w:ascii="仿宋_GB2312" w:hAnsi="仿宋_GB2312"/>
          <w:kern w:val="2"/>
        </w:rPr>
        <w:t>依法依规进行政府采购信息公开，采购人要对相关信息进行筛查把关。</w:t>
      </w:r>
    </w:p>
    <w:p w14:paraId="201ADD09">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rPr>
      </w:pPr>
      <w:bookmarkStart w:id="14" w:name="_Toc9286"/>
      <w:r>
        <w:rPr>
          <w:rFonts w:hint="eastAsia" w:ascii="仿宋_GB2312" w:hAnsi="仿宋_GB2312"/>
          <w:kern w:val="2"/>
        </w:rPr>
        <w:t>（一）</w:t>
      </w:r>
      <w:bookmarkEnd w:id="14"/>
      <w:r>
        <w:rPr>
          <w:rFonts w:hint="eastAsia" w:ascii="仿宋_GB2312" w:hAnsi="仿宋_GB2312"/>
          <w:kern w:val="2"/>
        </w:rPr>
        <w:t>采购人必须建立政府采购信息发布“双人审核、三级把关”制度，经办人起草信息内容，</w:t>
      </w:r>
      <w:r>
        <w:rPr>
          <w:rFonts w:hint="eastAsia" w:ascii="仿宋_GB2312" w:hAnsi="仿宋_GB2312"/>
        </w:rPr>
        <w:t>对照法律法规和采购项目实际情况进行初核；采购单位业务部门、法制部门对信息内容进行复核，重点核查信息的合规性、完整性；采购单位负责人终审签发后，方可对外发布。</w:t>
      </w:r>
    </w:p>
    <w:p w14:paraId="419E585E">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rPr>
      </w:pPr>
      <w:bookmarkStart w:id="15" w:name="_Toc28909"/>
      <w:r>
        <w:rPr>
          <w:rFonts w:hint="eastAsia" w:ascii="仿宋_GB2312" w:hAnsi="仿宋_GB2312"/>
        </w:rPr>
        <w:t>（二）</w:t>
      </w:r>
      <w:bookmarkEnd w:id="15"/>
      <w:r>
        <w:rPr>
          <w:rFonts w:hint="eastAsia" w:ascii="仿宋_GB2312" w:hAnsi="仿宋_GB2312"/>
        </w:rPr>
        <w:t>信息筛查必须覆盖以下内容：信息内容是否符合法律法规规定，是否存在歧视性、排他性条款；信息内容是否与采购项目实际一致，是否存在虚假记载、误导性陈述；信息内容是否涉及国家秘密、商业秘密、个人隐私；信息发布格式、时限是否符合法定要求。</w:t>
      </w:r>
    </w:p>
    <w:p w14:paraId="72B0ED88">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rPr>
      </w:pPr>
      <w:bookmarkStart w:id="16" w:name="_Toc18292"/>
      <w:r>
        <w:rPr>
          <w:rFonts w:hint="eastAsia" w:ascii="仿宋_GB2312" w:hAnsi="仿宋_GB2312"/>
        </w:rPr>
        <w:t>（三）</w:t>
      </w:r>
      <w:bookmarkEnd w:id="16"/>
      <w:r>
        <w:rPr>
          <w:rFonts w:hint="eastAsia" w:ascii="仿宋_GB2312" w:hAnsi="仿宋_GB2312"/>
        </w:rPr>
        <w:t>已发布的政府采购信息存在错误、遗漏的，采购人必须第一时间发布更正公告，说明更正原因、更正内容，并书面告知所有已获取采购文件的供应商。</w:t>
      </w:r>
    </w:p>
    <w:p w14:paraId="08955D04">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rPr>
      </w:pPr>
      <w:r>
        <w:rPr>
          <w:rFonts w:hint="eastAsia" w:ascii="楷体_GB2312" w:hAnsi="楷体_GB2312" w:eastAsia="楷体_GB2312" w:cs="楷体_GB2312"/>
        </w:rPr>
        <w:t xml:space="preserve">第十三条  </w:t>
      </w:r>
      <w:r>
        <w:rPr>
          <w:rFonts w:hint="eastAsia" w:ascii="仿宋_GB2312" w:hAnsi="仿宋_GB2312"/>
        </w:rPr>
        <w:t>鼓励采购人以中英两种语言发布采购公告。</w:t>
      </w:r>
    </w:p>
    <w:p w14:paraId="651E176D">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rPr>
      </w:pPr>
      <w:bookmarkStart w:id="17" w:name="_Toc22104"/>
      <w:r>
        <w:rPr>
          <w:rFonts w:hint="eastAsia" w:ascii="仿宋_GB2312" w:hAnsi="仿宋_GB2312"/>
        </w:rPr>
        <w:t>（一）</w:t>
      </w:r>
      <w:bookmarkEnd w:id="17"/>
      <w:r>
        <w:rPr>
          <w:rFonts w:hint="eastAsia" w:ascii="仿宋_GB2312" w:hAnsi="仿宋_GB2312"/>
        </w:rPr>
        <w:t>适时鼓励政府采购项目采购人以中英双语发布采购公告</w:t>
      </w:r>
      <w:r>
        <w:rPr>
          <w:rFonts w:hint="eastAsia" w:ascii="仿宋_GB2312" w:hAnsi="仿宋_GB2312"/>
          <w:lang w:eastAsia="zh-CN"/>
        </w:rPr>
        <w:t>，以</w:t>
      </w:r>
      <w:r>
        <w:rPr>
          <w:rFonts w:hint="eastAsia" w:ascii="仿宋_GB2312" w:hAnsi="仿宋_GB2312"/>
        </w:rPr>
        <w:t>消除境外供应商信息获取壁垒，吸引境外主体参与片区政府采购活动。</w:t>
      </w:r>
    </w:p>
    <w:p w14:paraId="4E759A8C">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rPr>
      </w:pPr>
      <w:bookmarkStart w:id="18" w:name="_Toc15028"/>
      <w:r>
        <w:rPr>
          <w:rFonts w:hint="eastAsia" w:ascii="仿宋_GB2312" w:hAnsi="仿宋_GB2312"/>
        </w:rPr>
        <w:t>（二）</w:t>
      </w:r>
      <w:bookmarkEnd w:id="18"/>
      <w:r>
        <w:rPr>
          <w:rFonts w:hint="eastAsia" w:ascii="仿宋_GB2312" w:hAnsi="仿宋_GB2312"/>
        </w:rPr>
        <w:t>以下采购项目，根据实际情况，优先采用中英双语发布采购公告：采购标的涉及境外货物、服务，或有意向吸引境外供应商参与的项目；片区重点产业、重大基础设施、国际合作相关的采购项目。</w:t>
      </w:r>
    </w:p>
    <w:p w14:paraId="10B6C08F">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rPr>
      </w:pPr>
      <w:bookmarkStart w:id="19" w:name="_Toc24934"/>
      <w:r>
        <w:rPr>
          <w:rFonts w:hint="eastAsia" w:ascii="仿宋_GB2312" w:hAnsi="仿宋_GB2312"/>
        </w:rPr>
        <w:t>（三）</w:t>
      </w:r>
      <w:bookmarkEnd w:id="19"/>
      <w:r>
        <w:rPr>
          <w:rFonts w:hint="eastAsia" w:ascii="仿宋_GB2312" w:hAnsi="仿宋_GB2312"/>
        </w:rPr>
        <w:t>双语采购公告的英文内容必须与中文内容完全一致，不得出现歧义、遗漏，</w:t>
      </w:r>
      <w:r>
        <w:rPr>
          <w:rFonts w:hint="eastAsia"/>
        </w:rPr>
        <w:t>出现不一致的以中文为准</w:t>
      </w:r>
      <w:r>
        <w:rPr>
          <w:rFonts w:hint="eastAsia" w:ascii="仿宋_GB2312" w:hAnsi="仿宋_GB2312"/>
        </w:rPr>
        <w:t>；英文公告必须采用国际政府采购通用术语，符合国际采购公告编制规范；双语公告必须同步发布、同步更新、同步更正。</w:t>
      </w:r>
    </w:p>
    <w:p w14:paraId="4E05DD4E">
      <w:pPr>
        <w:pStyle w:val="2"/>
        <w:keepNext w:val="0"/>
        <w:keepLines w:val="0"/>
        <w:pageBreakBefore w:val="0"/>
        <w:widowControl w:val="0"/>
        <w:kinsoku/>
        <w:wordWrap/>
        <w:overflowPunct/>
        <w:topLinePunct w:val="0"/>
        <w:bidi w:val="0"/>
        <w:snapToGrid/>
        <w:spacing w:line="600" w:lineRule="exact"/>
        <w:ind w:firstLine="640"/>
        <w:textAlignment w:val="auto"/>
        <w:rPr>
          <w:rFonts w:hint="eastAsia" w:ascii="仿宋_GB2312" w:hAnsi="仿宋_GB2312" w:eastAsia="仿宋_GB2312" w:cs="仿宋_GB2312"/>
          <w:kern w:val="2"/>
        </w:rPr>
      </w:pPr>
      <w:r>
        <w:rPr>
          <w:rFonts w:hint="eastAsia" w:ascii="楷体_GB2312" w:hAnsi="楷体_GB2312" w:eastAsia="楷体_GB2312" w:cs="楷体_GB2312"/>
          <w:spacing w:val="-6"/>
          <w:kern w:val="0"/>
          <w:sz w:val="32"/>
          <w:szCs w:val="32"/>
          <w:lang w:val="en-US" w:eastAsia="zh-CN" w:bidi="ar-SA"/>
        </w:rPr>
        <w:t xml:space="preserve">第十四条 </w:t>
      </w:r>
      <w:r>
        <w:rPr>
          <w:rFonts w:hint="eastAsia" w:ascii="楷体_GB2312" w:hAnsi="楷体_GB2312" w:eastAsia="楷体_GB2312" w:cs="楷体_GB2312"/>
          <w:spacing w:val="-6"/>
          <w:kern w:val="0"/>
        </w:rPr>
        <w:t xml:space="preserve"> </w:t>
      </w:r>
      <w:r>
        <w:rPr>
          <w:rFonts w:hint="eastAsia" w:ascii="仿宋_GB2312" w:hAnsi="仿宋_GB2312" w:eastAsia="仿宋_GB2312" w:cs="仿宋_GB2312"/>
          <w:kern w:val="2"/>
        </w:rPr>
        <w:t>应未中标、成交供应商请求，采购人应向其答复未中标、成交的理由或中标、成交供应商的优势说明，答复内容不得涉及商业秘密。</w:t>
      </w:r>
    </w:p>
    <w:p w14:paraId="5207CB62">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rPr>
      </w:pPr>
      <w:bookmarkStart w:id="20" w:name="_Toc7095"/>
      <w:r>
        <w:rPr>
          <w:rFonts w:hint="eastAsia" w:ascii="仿宋_GB2312" w:hAnsi="仿宋_GB2312"/>
        </w:rPr>
        <w:t>（一）</w:t>
      </w:r>
      <w:bookmarkEnd w:id="20"/>
      <w:r>
        <w:rPr>
          <w:rFonts w:hint="eastAsia" w:ascii="仿宋_GB2312" w:hAnsi="仿宋_GB2312"/>
        </w:rPr>
        <w:t>未中标、未成交的供应商在中标、成交结果公示期内提出</w:t>
      </w:r>
      <w:r>
        <w:rPr>
          <w:rFonts w:hint="eastAsia" w:ascii="仿宋_GB2312" w:hAnsi="仿宋_GB2312"/>
          <w:lang w:eastAsia="zh-CN"/>
        </w:rPr>
        <w:t>质疑，</w:t>
      </w:r>
      <w:r>
        <w:rPr>
          <w:rFonts w:hint="eastAsia" w:ascii="仿宋_GB2312" w:hAnsi="仿宋_GB2312"/>
        </w:rPr>
        <w:t>向采购人提交书面答复请求的，采购人必须予以受理，不得拒绝。</w:t>
      </w:r>
    </w:p>
    <w:p w14:paraId="10124479">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eastAsia="仿宋_GB2312" w:cs="仿宋_GB2312"/>
          <w:spacing w:val="0"/>
          <w:kern w:val="2"/>
          <w:sz w:val="32"/>
          <w:szCs w:val="32"/>
          <w:lang w:val="en-US" w:eastAsia="zh-CN" w:bidi="ar-SA"/>
        </w:rPr>
      </w:pPr>
      <w:bookmarkStart w:id="21" w:name="_Toc31705"/>
      <w:r>
        <w:rPr>
          <w:rFonts w:hint="eastAsia" w:ascii="仿宋_GB2312" w:hAnsi="仿宋_GB2312"/>
        </w:rPr>
        <w:t>（二）</w:t>
      </w:r>
      <w:bookmarkEnd w:id="21"/>
      <w:r>
        <w:rPr>
          <w:rFonts w:hint="eastAsia" w:ascii="仿宋_GB2312" w:hAnsi="仿宋_GB2312"/>
        </w:rPr>
        <w:t>采购人必须在收到答复请求后10个工作日内，出具书面答复意见，答复内容包括但不限于：该供应商的评审得分、评审扣分点及具体依据；未中标、未成交的核心理由；</w:t>
      </w:r>
      <w:r>
        <w:rPr>
          <w:rFonts w:hint="eastAsia" w:ascii="仿宋_GB2312" w:hAnsi="仿宋_GB2312" w:eastAsia="仿宋_GB2312" w:cs="仿宋_GB2312"/>
          <w:spacing w:val="0"/>
          <w:kern w:val="2"/>
          <w:sz w:val="32"/>
          <w:szCs w:val="32"/>
          <w:lang w:val="en-US" w:eastAsia="zh-CN" w:bidi="ar-SA"/>
        </w:rPr>
        <w:t>中标、成交供应商的核心评审优势（不得涉及商业秘密、投标文件核心技术秘密）。</w:t>
      </w:r>
    </w:p>
    <w:p w14:paraId="27D98F94">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rPr>
      </w:pPr>
      <w:bookmarkStart w:id="22" w:name="_Toc27261"/>
      <w:r>
        <w:rPr>
          <w:rFonts w:hint="eastAsia" w:ascii="仿宋_GB2312" w:hAnsi="仿宋_GB2312"/>
        </w:rPr>
        <w:t>（三）</w:t>
      </w:r>
      <w:bookmarkEnd w:id="22"/>
      <w:r>
        <w:rPr>
          <w:rFonts w:hint="eastAsia" w:ascii="仿宋_GB2312" w:hAnsi="仿宋_GB2312"/>
        </w:rPr>
        <w:t>答复内容不得泄露评审委员会成员的个人信息、评审讨论细节，不得泄露中标供应商的商业秘密、核心技术信息。</w:t>
      </w:r>
    </w:p>
    <w:p w14:paraId="6065EE64">
      <w:pPr>
        <w:pStyle w:val="12"/>
        <w:keepNext w:val="0"/>
        <w:keepLines w:val="0"/>
        <w:pageBreakBefore w:val="0"/>
        <w:widowControl w:val="0"/>
        <w:kinsoku/>
        <w:wordWrap/>
        <w:overflowPunct/>
        <w:topLinePunct w:val="0"/>
        <w:bidi w:val="0"/>
        <w:snapToGrid/>
        <w:spacing w:line="600" w:lineRule="exact"/>
        <w:ind w:firstLine="628"/>
        <w:textAlignment w:val="auto"/>
        <w:rPr>
          <w:rFonts w:ascii="仿宋_GB2312" w:hAnsi="仿宋_GB2312"/>
        </w:rPr>
      </w:pPr>
      <w:r>
        <w:rPr>
          <w:rFonts w:hint="eastAsia" w:ascii="楷体_GB2312" w:hAnsi="楷体_GB2312" w:eastAsia="楷体_GB2312" w:cs="楷体_GB2312"/>
        </w:rPr>
        <w:t xml:space="preserve">第十五条  </w:t>
      </w:r>
      <w:r>
        <w:rPr>
          <w:rFonts w:hint="eastAsia" w:ascii="仿宋_GB2312" w:hAnsi="仿宋_GB2312"/>
        </w:rPr>
        <w:t>供应商认为政府采购文件、采购过程和中标结果、成交结果使自身权益受到损害的，可以在知道或应知道其权益受到损害之日起10日内，以书面方式向采购人提出质疑。</w:t>
      </w:r>
    </w:p>
    <w:p w14:paraId="24512674">
      <w:pPr>
        <w:pStyle w:val="12"/>
        <w:keepNext w:val="0"/>
        <w:keepLines w:val="0"/>
        <w:pageBreakBefore w:val="0"/>
        <w:widowControl w:val="0"/>
        <w:kinsoku/>
        <w:wordWrap/>
        <w:overflowPunct/>
        <w:topLinePunct w:val="0"/>
        <w:bidi w:val="0"/>
        <w:snapToGrid/>
        <w:spacing w:line="600" w:lineRule="exact"/>
        <w:ind w:left="0" w:leftChars="0" w:firstLine="616" w:firstLineChars="200"/>
        <w:textAlignment w:val="auto"/>
        <w:rPr>
          <w:rFonts w:hint="eastAsia" w:ascii="仿宋_GB2312" w:hAnsi="仿宋_GB2312"/>
          <w:highlight w:val="none"/>
        </w:rPr>
      </w:pPr>
      <w:r>
        <w:rPr>
          <w:rFonts w:hint="eastAsia" w:ascii="仿宋_GB2312" w:hAnsi="仿宋_GB2312"/>
          <w:highlight w:val="none"/>
        </w:rPr>
        <w:t>对</w:t>
      </w:r>
      <w:r>
        <w:rPr>
          <w:rFonts w:ascii="仿宋_GB2312" w:hAnsi="仿宋_GB2312"/>
          <w:highlight w:val="none"/>
        </w:rPr>
        <w:t>采购文件提出质疑</w:t>
      </w:r>
      <w:r>
        <w:rPr>
          <w:rFonts w:hint="eastAsia" w:ascii="仿宋_GB2312" w:hAnsi="仿宋_GB2312"/>
          <w:highlight w:val="none"/>
        </w:rPr>
        <w:t>的潜在供应商，应当是在法定期限内下载（或获取）采购文件</w:t>
      </w:r>
      <w:r>
        <w:rPr>
          <w:rFonts w:hint="eastAsia" w:ascii="仿宋_GB2312" w:hAnsi="仿宋_GB2312"/>
          <w:highlight w:val="none"/>
          <w:lang w:eastAsia="zh-CN"/>
        </w:rPr>
        <w:t>的供应商</w:t>
      </w:r>
      <w:r>
        <w:rPr>
          <w:rFonts w:hint="eastAsia" w:ascii="仿宋_GB2312" w:hAnsi="仿宋_GB2312"/>
          <w:highlight w:val="none"/>
        </w:rPr>
        <w:t>；未通过资格性、符合性审查的供应商不得对</w:t>
      </w:r>
      <w:r>
        <w:rPr>
          <w:rFonts w:ascii="仿宋_GB2312" w:hAnsi="仿宋_GB2312"/>
          <w:highlight w:val="none"/>
        </w:rPr>
        <w:t>中标结果</w:t>
      </w:r>
      <w:r>
        <w:rPr>
          <w:rFonts w:hint="eastAsia" w:ascii="仿宋_GB2312" w:hAnsi="仿宋_GB2312"/>
          <w:highlight w:val="none"/>
          <w:lang w:eastAsia="zh-CN"/>
        </w:rPr>
        <w:t>提出质疑</w:t>
      </w:r>
      <w:r>
        <w:rPr>
          <w:rFonts w:hint="eastAsia" w:ascii="仿宋_GB2312" w:hAnsi="仿宋_GB2312"/>
          <w:highlight w:val="none"/>
        </w:rPr>
        <w:t>。</w:t>
      </w:r>
    </w:p>
    <w:p w14:paraId="41775310">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rPr>
      </w:pPr>
      <w:bookmarkStart w:id="23" w:name="_Toc21944"/>
      <w:r>
        <w:rPr>
          <w:rFonts w:hint="eastAsia" w:ascii="仿宋_GB2312" w:hAnsi="仿宋_GB2312"/>
        </w:rPr>
        <w:t>（一）</w:t>
      </w:r>
      <w:bookmarkEnd w:id="23"/>
      <w:r>
        <w:rPr>
          <w:rFonts w:hint="eastAsia" w:ascii="仿宋_GB2312" w:hAnsi="仿宋_GB2312"/>
        </w:rPr>
        <w:t>供应商提交的书面质疑材料应包含质疑供应商的名称、地址、联系方式、相关资格证明、明确的质疑事项、事实依据及相关证明材料，以及质疑供应商的签章及提起日期。</w:t>
      </w:r>
    </w:p>
    <w:p w14:paraId="19BA5366">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rPr>
      </w:pPr>
      <w:bookmarkStart w:id="24" w:name="_Toc8039"/>
      <w:r>
        <w:rPr>
          <w:rFonts w:hint="eastAsia" w:ascii="仿宋_GB2312" w:hAnsi="仿宋_GB2312"/>
        </w:rPr>
        <w:t>（二）</w:t>
      </w:r>
      <w:bookmarkEnd w:id="24"/>
      <w:r>
        <w:rPr>
          <w:rFonts w:hint="eastAsia" w:ascii="仿宋_GB2312" w:hAnsi="仿宋_GB2312"/>
        </w:rPr>
        <w:t>采购人收到质疑材料后，应当在3个工作日内进行审查，对符合要求的予以受理，对不符合要求的，一次性告知补正内容；受理后，必须在7个工作日内出具书面答复意见，并以书面形式通知质疑供应商和其他有关供应商。</w:t>
      </w:r>
    </w:p>
    <w:p w14:paraId="233D2F6D">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highlight w:val="none"/>
          <w:lang w:eastAsia="zh-CN"/>
        </w:rPr>
      </w:pPr>
      <w:bookmarkStart w:id="25" w:name="_Toc27911"/>
      <w:r>
        <w:rPr>
          <w:rFonts w:hint="eastAsia" w:ascii="仿宋_GB2312" w:hAnsi="仿宋_GB2312"/>
        </w:rPr>
        <w:t>（三）</w:t>
      </w:r>
      <w:bookmarkEnd w:id="25"/>
      <w:r>
        <w:rPr>
          <w:rFonts w:hint="eastAsia" w:ascii="仿宋_GB2312" w:hAnsi="仿宋_GB2312"/>
        </w:rPr>
        <w:t>采购人必须针对质疑事项逐一核实，依法依规作出处理；质疑事项成立的，必须及时纠正采购活动中的违规行为，依法暂停采购活动、</w:t>
      </w:r>
      <w:r>
        <w:rPr>
          <w:rFonts w:hint="eastAsia" w:ascii="仿宋_GB2312" w:hAnsi="仿宋_GB2312"/>
          <w:highlight w:val="none"/>
        </w:rPr>
        <w:t>认定中标结果无效、重新开展采购活动</w:t>
      </w:r>
      <w:r>
        <w:rPr>
          <w:rFonts w:hint="eastAsia" w:ascii="仿宋_GB2312" w:hAnsi="仿宋_GB2312"/>
          <w:highlight w:val="none"/>
          <w:lang w:eastAsia="zh-CN"/>
        </w:rPr>
        <w:t>。</w:t>
      </w:r>
    </w:p>
    <w:p w14:paraId="4BE12318">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rPr>
      </w:pPr>
      <w:r>
        <w:rPr>
          <w:rFonts w:hint="eastAsia" w:ascii="楷体_GB2312" w:hAnsi="楷体_GB2312" w:eastAsia="楷体_GB2312" w:cs="楷体_GB2312"/>
        </w:rPr>
        <w:t xml:space="preserve">第十六条  </w:t>
      </w:r>
      <w:r>
        <w:rPr>
          <w:rFonts w:hint="eastAsia" w:ascii="仿宋_GB2312" w:hAnsi="仿宋_GB2312"/>
        </w:rPr>
        <w:t>指定独立于采购人的审查主管机关，就供应商对政府采购活动提出的投诉进行审查。鼓励采购人和供应商通过磋商解决投诉。</w:t>
      </w:r>
    </w:p>
    <w:p w14:paraId="170C30C1">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rPr>
      </w:pPr>
      <w:bookmarkStart w:id="26" w:name="_Toc26983"/>
      <w:r>
        <w:rPr>
          <w:rFonts w:hint="eastAsia" w:ascii="仿宋_GB2312" w:hAnsi="仿宋_GB2312"/>
        </w:rPr>
        <w:t>（一）</w:t>
      </w:r>
      <w:bookmarkEnd w:id="26"/>
      <w:r>
        <w:rPr>
          <w:rFonts w:hint="eastAsia" w:ascii="仿宋_GB2312" w:hAnsi="仿宋_GB2312"/>
        </w:rPr>
        <w:t>财政部门依法受理供应商对政府采购活动的投诉，严格按照法定程序开展审查，全面核实投诉事项、相关证据，听取被投诉人的答复说明，依法作出书面处理决定。</w:t>
      </w:r>
    </w:p>
    <w:p w14:paraId="49B71835">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rPr>
      </w:pPr>
      <w:bookmarkStart w:id="27" w:name="_Toc1726"/>
      <w:r>
        <w:rPr>
          <w:rFonts w:hint="eastAsia" w:ascii="仿宋_GB2312" w:hAnsi="仿宋_GB2312"/>
        </w:rPr>
        <w:t>（二）</w:t>
      </w:r>
      <w:bookmarkEnd w:id="27"/>
      <w:r>
        <w:rPr>
          <w:rFonts w:hint="eastAsia" w:ascii="仿宋_GB2312" w:hAnsi="仿宋_GB2312"/>
        </w:rPr>
        <w:t>投诉受理后，财政部门应当先行告知投诉人与被投诉人，可通过平等磋商的方式解决争议；双方同意磋商的，财政部门可组织开展调解磋商，促成双方达成一致意见，签订调解协议。</w:t>
      </w:r>
    </w:p>
    <w:p w14:paraId="102876A8">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rPr>
      </w:pPr>
      <w:bookmarkStart w:id="28" w:name="_Toc24245"/>
      <w:r>
        <w:rPr>
          <w:rFonts w:hint="eastAsia" w:ascii="仿宋_GB2312" w:hAnsi="仿宋_GB2312"/>
        </w:rPr>
        <w:t>（三）</w:t>
      </w:r>
      <w:bookmarkEnd w:id="28"/>
      <w:r>
        <w:rPr>
          <w:rFonts w:hint="eastAsia" w:ascii="仿宋_GB2312" w:hAnsi="仿宋_GB2312"/>
        </w:rPr>
        <w:t>双方通过磋商达成一致，且不损害国家利益、社会公共利益和其他供应商合法权益的，投诉人可撤回投诉，财政部门依法终止投诉处理程序；磋商不成的，财政部门继续依法开展审查，并作出处理决定。</w:t>
      </w:r>
    </w:p>
    <w:p w14:paraId="00DD35EA">
      <w:pPr>
        <w:pStyle w:val="2"/>
        <w:keepNext w:val="0"/>
        <w:keepLines w:val="0"/>
        <w:pageBreakBefore w:val="0"/>
        <w:widowControl w:val="0"/>
        <w:kinsoku/>
        <w:wordWrap/>
        <w:overflowPunct/>
        <w:topLinePunct w:val="0"/>
        <w:bidi w:val="0"/>
        <w:snapToGrid/>
        <w:spacing w:line="600" w:lineRule="exact"/>
        <w:ind w:firstLine="640"/>
        <w:textAlignment w:val="auto"/>
        <w:rPr>
          <w:rFonts w:hint="eastAsia" w:ascii="仿宋_GB2312" w:hAnsi="仿宋_GB2312" w:eastAsia="仿宋_GB2312" w:cs="仿宋_GB2312"/>
          <w:kern w:val="2"/>
        </w:rPr>
      </w:pPr>
      <w:r>
        <w:rPr>
          <w:rFonts w:hint="eastAsia" w:ascii="楷体_GB2312" w:hAnsi="楷体_GB2312" w:eastAsia="楷体_GB2312" w:cs="楷体_GB2312"/>
          <w:spacing w:val="-6"/>
          <w:kern w:val="0"/>
          <w:sz w:val="32"/>
          <w:szCs w:val="32"/>
          <w:lang w:val="en-US" w:eastAsia="zh-CN" w:bidi="ar-SA"/>
        </w:rPr>
        <w:t>第十七条</w:t>
      </w:r>
      <w:r>
        <w:rPr>
          <w:rFonts w:hint="eastAsia" w:ascii="楷体_GB2312" w:hAnsi="楷体_GB2312" w:eastAsia="楷体_GB2312" w:cs="楷体_GB2312"/>
          <w:spacing w:val="-6"/>
          <w:kern w:val="0"/>
        </w:rPr>
        <w:t xml:space="preserve">  </w:t>
      </w:r>
      <w:r>
        <w:rPr>
          <w:rFonts w:hint="eastAsia" w:ascii="仿宋_GB2312" w:hAnsi="仿宋_GB2312" w:eastAsia="仿宋_GB2312" w:cs="仿宋_GB2312"/>
          <w:kern w:val="2"/>
        </w:rPr>
        <w:t>根据采购的规模、设计和结构，可对中小企业实施合同分包。</w:t>
      </w:r>
    </w:p>
    <w:p w14:paraId="73022DBF">
      <w:pPr>
        <w:pStyle w:val="17"/>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16" w:firstLineChars="200"/>
        <w:jc w:val="both"/>
        <w:textAlignment w:val="auto"/>
        <w:rPr>
          <w:rFonts w:hint="eastAsia" w:ascii="仿宋_GB2312" w:hAnsi="仿宋_GB2312" w:eastAsia="仿宋_GB2312" w:cs="仿宋_GB2312"/>
          <w:color w:val="0000FF"/>
          <w:spacing w:val="-6"/>
          <w:sz w:val="32"/>
          <w:szCs w:val="32"/>
          <w:lang w:val="en-US" w:eastAsia="zh-CN" w:bidi="ar-SA"/>
        </w:rPr>
      </w:pPr>
      <w:r>
        <w:rPr>
          <w:rFonts w:hint="eastAsia" w:ascii="仿宋_GB2312" w:hAnsi="仿宋_GB2312" w:eastAsia="仿宋_GB2312" w:cs="仿宋_GB2312"/>
          <w:spacing w:val="-6"/>
          <w:sz w:val="32"/>
          <w:szCs w:val="32"/>
          <w:lang w:val="en-US" w:eastAsia="zh-CN" w:bidi="ar-SA"/>
        </w:rPr>
        <w:t>（一）</w:t>
      </w:r>
      <w:r>
        <w:rPr>
          <w:rFonts w:hint="eastAsia" w:ascii="仿宋_GB2312" w:hAnsi="仿宋_GB2312" w:eastAsia="仿宋_GB2312" w:cs="仿宋_GB2312"/>
          <w:color w:val="auto"/>
          <w:spacing w:val="-6"/>
          <w:sz w:val="32"/>
          <w:szCs w:val="32"/>
          <w:lang w:val="en-US" w:eastAsia="zh-CN" w:bidi="ar-SA"/>
        </w:rPr>
        <w:t>适宜由中小企业提供的，预留该部分采购项目预算总额的40%以上专门面向中小企业采购，其中预留给小微企业的比例不低于60%。预留份额通过下列措施进行：</w:t>
      </w:r>
    </w:p>
    <w:p w14:paraId="59604861">
      <w:pPr>
        <w:pStyle w:val="17"/>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16" w:firstLineChars="200"/>
        <w:jc w:val="both"/>
        <w:textAlignment w:val="auto"/>
        <w:rPr>
          <w:rFonts w:hint="eastAsia" w:ascii="仿宋_GB2312" w:hAnsi="仿宋_GB2312" w:eastAsia="仿宋_GB2312" w:cs="仿宋_GB2312"/>
          <w:spacing w:val="-6"/>
          <w:sz w:val="32"/>
          <w:szCs w:val="32"/>
          <w:lang w:val="en-US" w:eastAsia="zh-CN" w:bidi="ar-SA"/>
        </w:rPr>
      </w:pPr>
      <w:bookmarkStart w:id="29" w:name="_Toc32009"/>
      <w:r>
        <w:rPr>
          <w:rFonts w:hint="eastAsia" w:ascii="仿宋_GB2312" w:hAnsi="仿宋_GB2312" w:eastAsia="仿宋_GB2312" w:cs="仿宋_GB2312"/>
          <w:spacing w:val="-6"/>
          <w:sz w:val="32"/>
          <w:szCs w:val="32"/>
          <w:lang w:val="en-US" w:eastAsia="zh-CN" w:bidi="ar-SA"/>
        </w:rPr>
        <w:t>1.将采购项目整体或者设置采购包专门面向中小企业采购；</w:t>
      </w:r>
    </w:p>
    <w:p w14:paraId="5DC595DE">
      <w:pPr>
        <w:pStyle w:val="17"/>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16" w:firstLineChars="200"/>
        <w:jc w:val="both"/>
        <w:textAlignment w:val="auto"/>
        <w:rPr>
          <w:rFonts w:hint="eastAsia" w:ascii="仿宋_GB2312" w:hAnsi="仿宋_GB2312" w:eastAsia="仿宋_GB2312" w:cs="仿宋_GB2312"/>
          <w:spacing w:val="-6"/>
          <w:sz w:val="32"/>
          <w:szCs w:val="32"/>
          <w:lang w:val="en-US" w:eastAsia="zh-CN" w:bidi="ar-SA"/>
        </w:rPr>
      </w:pPr>
      <w:r>
        <w:rPr>
          <w:rFonts w:hint="eastAsia" w:ascii="仿宋_GB2312" w:hAnsi="仿宋_GB2312" w:eastAsia="仿宋_GB2312" w:cs="仿宋_GB2312"/>
          <w:spacing w:val="-6"/>
          <w:sz w:val="32"/>
          <w:szCs w:val="32"/>
          <w:lang w:val="en-US" w:eastAsia="zh-CN" w:bidi="ar-SA"/>
        </w:rPr>
        <w:t>2.要求供应商以联合体形式参加采购活动，且联合体中中小企业承担的部分达到一定比例；</w:t>
      </w:r>
    </w:p>
    <w:p w14:paraId="00133D52">
      <w:pPr>
        <w:pStyle w:val="17"/>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16" w:firstLineChars="200"/>
        <w:jc w:val="both"/>
        <w:textAlignment w:val="auto"/>
        <w:rPr>
          <w:rFonts w:hint="eastAsia" w:ascii="仿宋_GB2312" w:hAnsi="仿宋_GB2312" w:eastAsia="仿宋_GB2312" w:cs="仿宋_GB2312"/>
          <w:spacing w:val="-6"/>
          <w:sz w:val="32"/>
          <w:szCs w:val="32"/>
          <w:lang w:val="en-US" w:eastAsia="zh-CN" w:bidi="ar-SA"/>
        </w:rPr>
      </w:pPr>
      <w:r>
        <w:rPr>
          <w:rFonts w:hint="eastAsia" w:ascii="仿宋_GB2312" w:hAnsi="仿宋_GB2312" w:eastAsia="仿宋_GB2312" w:cs="仿宋_GB2312"/>
          <w:spacing w:val="-6"/>
          <w:sz w:val="32"/>
          <w:szCs w:val="32"/>
          <w:lang w:val="en-US" w:eastAsia="zh-CN" w:bidi="ar-SA"/>
        </w:rPr>
        <w:t>3.要求获得采购合同的供应商将采购项目中的一定比例分包给一家或者多家中小企业。</w:t>
      </w:r>
    </w:p>
    <w:p w14:paraId="7D2413D4">
      <w:pPr>
        <w:pStyle w:val="17"/>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600" w:lineRule="exact"/>
        <w:ind w:firstLine="616" w:firstLineChars="200"/>
        <w:jc w:val="both"/>
        <w:textAlignment w:val="auto"/>
        <w:rPr>
          <w:rFonts w:hint="eastAsia" w:ascii="仿宋_GB2312" w:hAnsi="仿宋_GB2312" w:eastAsia="仿宋_GB2312" w:cs="仿宋_GB2312"/>
          <w:spacing w:val="-6"/>
          <w:sz w:val="32"/>
          <w:szCs w:val="32"/>
          <w:lang w:val="en-US" w:eastAsia="zh-CN" w:bidi="ar-SA"/>
        </w:rPr>
      </w:pPr>
      <w:r>
        <w:rPr>
          <w:rFonts w:hint="eastAsia" w:ascii="仿宋_GB2312" w:hAnsi="仿宋_GB2312" w:eastAsia="仿宋_GB2312" w:cs="仿宋_GB2312"/>
          <w:spacing w:val="-6"/>
          <w:sz w:val="32"/>
          <w:szCs w:val="32"/>
          <w:lang w:val="en-US" w:eastAsia="zh-CN" w:bidi="ar-SA"/>
        </w:rPr>
        <w:t>组成联合体或者接受分包合同的中小企业与联合体内其他企业、分包企业之间不得存在直接控股、管理关系。</w:t>
      </w:r>
    </w:p>
    <w:p w14:paraId="199B0C28">
      <w:pPr>
        <w:pStyle w:val="12"/>
        <w:keepNext w:val="0"/>
        <w:keepLines w:val="0"/>
        <w:pageBreakBefore w:val="0"/>
        <w:widowControl w:val="0"/>
        <w:kinsoku/>
        <w:wordWrap/>
        <w:overflowPunct/>
        <w:topLinePunct w:val="0"/>
        <w:bidi w:val="0"/>
        <w:snapToGrid/>
        <w:spacing w:line="600" w:lineRule="exact"/>
        <w:ind w:firstLine="628"/>
        <w:textAlignment w:val="auto"/>
        <w:rPr>
          <w:rFonts w:ascii="仿宋_GB2312" w:hAnsi="仿宋_GB2312"/>
        </w:rPr>
      </w:pPr>
      <w:r>
        <w:rPr>
          <w:rFonts w:hint="eastAsia" w:ascii="仿宋_GB2312" w:hAnsi="仿宋_GB2312"/>
        </w:rPr>
        <w:t>（二）</w:t>
      </w:r>
      <w:bookmarkEnd w:id="29"/>
      <w:r>
        <w:rPr>
          <w:rFonts w:hint="eastAsia" w:ascii="仿宋_GB2312" w:hAnsi="仿宋_GB2312"/>
        </w:rPr>
        <w:t>投标人根据招标文件的规定和采购项目的实际情况，拟在中标后将中标项目的非主体、非关键性工作分包的，应当在投标文件中载明分包承担主体，分包承担主体应当具备相应资质条件且不得再次分包。</w:t>
      </w:r>
    </w:p>
    <w:p w14:paraId="6C2E17F8">
      <w:pPr>
        <w:pStyle w:val="12"/>
        <w:keepNext w:val="0"/>
        <w:keepLines w:val="0"/>
        <w:pageBreakBefore w:val="0"/>
        <w:widowControl w:val="0"/>
        <w:kinsoku/>
        <w:wordWrap/>
        <w:overflowPunct/>
        <w:topLinePunct w:val="0"/>
        <w:bidi w:val="0"/>
        <w:snapToGrid/>
        <w:spacing w:line="600" w:lineRule="exact"/>
        <w:ind w:left="0" w:leftChars="0" w:firstLine="616" w:firstLineChars="200"/>
        <w:textAlignment w:val="auto"/>
        <w:rPr>
          <w:rFonts w:hint="eastAsia" w:ascii="仿宋_GB2312" w:hAnsi="仿宋_GB2312"/>
        </w:rPr>
      </w:pPr>
      <w:r>
        <w:rPr>
          <w:rFonts w:hint="eastAsia" w:ascii="楷体_GB2312" w:hAnsi="楷体_GB2312" w:eastAsia="楷体_GB2312" w:cs="楷体_GB2312"/>
        </w:rPr>
        <w:t>第十</w:t>
      </w:r>
      <w:r>
        <w:rPr>
          <w:rFonts w:hint="eastAsia" w:ascii="楷体_GB2312" w:hAnsi="楷体_GB2312" w:eastAsia="楷体_GB2312" w:cs="楷体_GB2312"/>
          <w:lang w:val="en-US" w:eastAsia="zh-CN"/>
        </w:rPr>
        <w:t>八</w:t>
      </w:r>
      <w:r>
        <w:rPr>
          <w:rFonts w:hint="eastAsia" w:ascii="楷体_GB2312" w:hAnsi="楷体_GB2312" w:eastAsia="楷体_GB2312" w:cs="楷体_GB2312"/>
        </w:rPr>
        <w:t xml:space="preserve">条 </w:t>
      </w:r>
      <w:r>
        <w:rPr>
          <w:rFonts w:hint="eastAsia" w:ascii="仿宋_GB2312" w:hAnsi="仿宋_GB2312"/>
        </w:rPr>
        <w:t xml:space="preserve"> 提升电子化采购平台的数字技术应用水平，推动采购流程透明化、规范化和智能化，推进电子证照应用。</w:t>
      </w:r>
    </w:p>
    <w:p w14:paraId="3F5A8333">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rPr>
      </w:pPr>
      <w:r>
        <w:rPr>
          <w:rFonts w:hint="eastAsia" w:ascii="仿宋_GB2312" w:hAnsi="仿宋_GB2312"/>
        </w:rPr>
        <w:t>电子化平台逐步覆盖政府采购全流程，实现采购意向发布、采购文件编制、在线投标、在线开标、电子评审、</w:t>
      </w:r>
      <w:r>
        <w:rPr>
          <w:rFonts w:hint="eastAsia" w:ascii="仿宋_GB2312" w:hAnsi="仿宋_GB2312"/>
          <w:highlight w:val="none"/>
        </w:rPr>
        <w:t>谈判、</w:t>
      </w:r>
      <w:r>
        <w:rPr>
          <w:rFonts w:hint="eastAsia" w:ascii="仿宋_GB2312" w:hAnsi="仿宋_GB2312"/>
        </w:rPr>
        <w:t>结果公示、质疑投诉处理等环节线上化运行。</w:t>
      </w:r>
    </w:p>
    <w:p w14:paraId="0E6809FB">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rPr>
      </w:pPr>
      <w:bookmarkStart w:id="30" w:name="_Toc4637"/>
      <w:r>
        <w:rPr>
          <w:rFonts w:hint="eastAsia" w:ascii="仿宋_GB2312" w:hAnsi="仿宋_GB2312"/>
        </w:rPr>
        <w:t>（一）智能化管控要求</w:t>
      </w:r>
      <w:bookmarkEnd w:id="30"/>
      <w:r>
        <w:rPr>
          <w:rFonts w:hint="eastAsia" w:ascii="仿宋_GB2312" w:hAnsi="仿宋_GB2312"/>
        </w:rPr>
        <w:t>：平台必须嵌入智能管控功能，实现采购方式自动校验、采购文件合规性智能审查、时限自动预警、公平竞争条款智能筛查，推动采购流程规范化、智能化。</w:t>
      </w:r>
    </w:p>
    <w:p w14:paraId="48539C7A">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rPr>
      </w:pPr>
      <w:bookmarkStart w:id="31" w:name="_Toc6708"/>
      <w:r>
        <w:rPr>
          <w:rFonts w:hint="eastAsia" w:ascii="仿宋_GB2312" w:hAnsi="仿宋_GB2312"/>
        </w:rPr>
        <w:t>（二）电子证照应用</w:t>
      </w:r>
      <w:bookmarkEnd w:id="31"/>
      <w:r>
        <w:rPr>
          <w:rFonts w:hint="eastAsia" w:ascii="仿宋_GB2312" w:hAnsi="仿宋_GB2312"/>
        </w:rPr>
        <w:t>：电子化平台与河北省、石家庄市政务服务电子证照系统逐步对接，实现营业执照、资质证书、信用报告、财务报表等电子证照的共享复用，供应商投标无需重复提交纸质材料，实现“一网通办、免证办”。</w:t>
      </w:r>
    </w:p>
    <w:p w14:paraId="05A23A36">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rPr>
      </w:pPr>
      <w:r>
        <w:rPr>
          <w:rFonts w:hint="eastAsia" w:ascii="楷体_GB2312" w:hAnsi="楷体_GB2312" w:eastAsia="楷体_GB2312" w:cs="楷体_GB2312"/>
        </w:rPr>
        <w:t>第十</w:t>
      </w:r>
      <w:r>
        <w:rPr>
          <w:rFonts w:hint="eastAsia" w:ascii="楷体_GB2312" w:hAnsi="楷体_GB2312" w:eastAsia="楷体_GB2312" w:cs="楷体_GB2312"/>
          <w:lang w:val="en-US" w:eastAsia="zh-CN"/>
        </w:rPr>
        <w:t>九</w:t>
      </w:r>
      <w:r>
        <w:rPr>
          <w:rFonts w:hint="eastAsia" w:ascii="楷体_GB2312" w:hAnsi="楷体_GB2312" w:eastAsia="楷体_GB2312" w:cs="楷体_GB2312"/>
        </w:rPr>
        <w:t>条</w:t>
      </w:r>
      <w:r>
        <w:rPr>
          <w:rFonts w:hint="eastAsia" w:ascii="楷体_GB2312" w:hAnsi="楷体_GB2312" w:eastAsia="楷体_GB2312" w:cs="楷体_GB2312"/>
          <w:lang w:val="en-US" w:eastAsia="zh-CN"/>
        </w:rPr>
        <w:t xml:space="preserve">  </w:t>
      </w:r>
      <w:r>
        <w:rPr>
          <w:rFonts w:hint="eastAsia" w:ascii="仿宋_GB2312" w:hAnsi="仿宋_GB2312"/>
        </w:rPr>
        <w:t xml:space="preserve">采购人、采购代理机构应妥善保存政府采购项目每项采购活动的采购文件、记录和报告，不得伪造、变造、隐匿或者销毁。采购相关文件应自采购结束之日起至少保存15年。  </w:t>
      </w:r>
    </w:p>
    <w:p w14:paraId="78155955">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rPr>
      </w:pPr>
      <w:r>
        <w:rPr>
          <w:rFonts w:hint="eastAsia" w:ascii="仿宋_GB2312" w:hAnsi="仿宋_GB2312"/>
        </w:rPr>
        <w:t>（一）归档范围：政府采购项目档案必须涵盖采购活动全流程文件，包括但不限于开标影音资料、采购预算文件、采购需求、采购文件、答疑澄清文件、投标文件、评审资料、中标公告、采购合同、结算凭证、履约验收报告、质疑投诉处理材料等所有相关文件、记录和报告。</w:t>
      </w:r>
    </w:p>
    <w:p w14:paraId="2D0E8C84">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rPr>
      </w:pPr>
      <w:r>
        <w:rPr>
          <w:rFonts w:hint="eastAsia" w:ascii="仿宋_GB2312" w:hAnsi="仿宋_GB2312"/>
        </w:rPr>
        <w:t>（二）保存期限：政府采购项目档案的保存期限，自采购项目结束之日起计算，不得少于15年；法律、行政法规另有规定的，从其规定。</w:t>
      </w:r>
    </w:p>
    <w:p w14:paraId="12E046E5">
      <w:pPr>
        <w:pStyle w:val="29"/>
        <w:keepNext w:val="0"/>
        <w:keepLines w:val="0"/>
        <w:pageBreakBefore w:val="0"/>
        <w:widowControl w:val="0"/>
        <w:numPr>
          <w:ilvl w:val="0"/>
          <w:numId w:val="1"/>
        </w:numPr>
        <w:kinsoku/>
        <w:wordWrap/>
        <w:overflowPunct/>
        <w:topLinePunct w:val="0"/>
        <w:bidi w:val="0"/>
        <w:snapToGrid/>
        <w:spacing w:line="600" w:lineRule="exact"/>
        <w:textAlignment w:val="auto"/>
        <w:rPr>
          <w:rFonts w:hint="eastAsia"/>
        </w:rPr>
      </w:pPr>
      <w:bookmarkStart w:id="32" w:name="_Toc17104"/>
      <w:bookmarkStart w:id="33" w:name="heading_20"/>
      <w:r>
        <w:rPr>
          <w:rFonts w:hint="eastAsia"/>
          <w:lang w:val="en-US" w:eastAsia="zh-CN"/>
        </w:rPr>
        <w:t xml:space="preserve"> </w:t>
      </w:r>
      <w:r>
        <w:t>附则</w:t>
      </w:r>
      <w:bookmarkEnd w:id="32"/>
      <w:bookmarkEnd w:id="33"/>
    </w:p>
    <w:p w14:paraId="6E4D9DEE">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rPr>
      </w:pPr>
      <w:r>
        <w:rPr>
          <w:rFonts w:hint="eastAsia" w:ascii="楷体_GB2312" w:hAnsi="楷体_GB2312" w:eastAsia="楷体_GB2312" w:cs="楷体_GB2312"/>
        </w:rPr>
        <w:t>第二十条</w:t>
      </w:r>
      <w:r>
        <w:rPr>
          <w:rFonts w:hint="eastAsia" w:ascii="楷体_GB2312" w:hAnsi="楷体_GB2312" w:eastAsia="楷体_GB2312" w:cs="楷体_GB2312"/>
          <w:lang w:val="en-US" w:eastAsia="zh-CN"/>
        </w:rPr>
        <w:t xml:space="preserve">  </w:t>
      </w:r>
      <w:r>
        <w:rPr>
          <w:rFonts w:hint="eastAsia" w:ascii="仿宋_GB2312" w:hAnsi="仿宋_GB2312"/>
        </w:rPr>
        <w:t>对因严重自然灾害和其他不可抗力事件所实施的紧急采购和涉及国家安全和秘密的采购，不适用本细则</w:t>
      </w:r>
      <w:r>
        <w:rPr>
          <w:rFonts w:hint="eastAsia" w:ascii="仿宋_GB2312" w:hAnsi="仿宋_GB2312"/>
          <w:lang w:eastAsia="zh-CN"/>
        </w:rPr>
        <w:t>。</w:t>
      </w:r>
      <w:r>
        <w:rPr>
          <w:rFonts w:hint="eastAsia" w:ascii="仿宋_GB2312" w:hAnsi="仿宋_GB2312"/>
        </w:rPr>
        <w:t>对标国际高标准经贸规则，采购人因创新而引发质疑且无违规的，可免除相关责任。</w:t>
      </w:r>
    </w:p>
    <w:p w14:paraId="199FCD5E">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rPr>
      </w:pPr>
      <w:r>
        <w:rPr>
          <w:rFonts w:hint="eastAsia" w:ascii="楷体_GB2312" w:hAnsi="楷体_GB2312" w:eastAsia="楷体_GB2312" w:cs="楷体_GB2312"/>
        </w:rPr>
        <w:t>第二十</w:t>
      </w:r>
      <w:r>
        <w:rPr>
          <w:rFonts w:hint="eastAsia" w:ascii="楷体_GB2312" w:hAnsi="楷体_GB2312" w:eastAsia="楷体_GB2312" w:cs="楷体_GB2312"/>
          <w:lang w:val="en-US" w:eastAsia="zh-CN"/>
        </w:rPr>
        <w:t>一</w:t>
      </w:r>
      <w:r>
        <w:rPr>
          <w:rFonts w:hint="eastAsia" w:ascii="楷体_GB2312" w:hAnsi="楷体_GB2312" w:eastAsia="楷体_GB2312" w:cs="楷体_GB2312"/>
        </w:rPr>
        <w:t>条</w:t>
      </w:r>
      <w:r>
        <w:rPr>
          <w:rFonts w:hint="eastAsia" w:ascii="楷体_GB2312" w:hAnsi="楷体_GB2312" w:eastAsia="楷体_GB2312" w:cs="楷体_GB2312"/>
          <w:lang w:val="en-US" w:eastAsia="zh-CN"/>
        </w:rPr>
        <w:t xml:space="preserve">  </w:t>
      </w:r>
      <w:r>
        <w:rPr>
          <w:rFonts w:hint="eastAsia" w:ascii="仿宋_GB2312" w:hAnsi="仿宋_GB2312"/>
        </w:rPr>
        <w:t>未尽事宜</w:t>
      </w:r>
      <w:r>
        <w:rPr>
          <w:rFonts w:hint="eastAsia" w:ascii="仿宋_GB2312" w:hAnsi="仿宋_GB2312"/>
          <w:lang w:eastAsia="zh-CN"/>
        </w:rPr>
        <w:t>，</w:t>
      </w:r>
      <w:r>
        <w:rPr>
          <w:rFonts w:hint="eastAsia" w:ascii="仿宋_GB2312" w:hAnsi="仿宋_GB2312"/>
          <w:lang w:val="en-US" w:eastAsia="zh-CN"/>
        </w:rPr>
        <w:t>按</w:t>
      </w:r>
      <w:r>
        <w:rPr>
          <w:rFonts w:hint="eastAsia" w:ascii="仿宋_GB2312" w:hAnsi="仿宋_GB2312"/>
        </w:rPr>
        <w:t>现行政府采购</w:t>
      </w:r>
      <w:r>
        <w:rPr>
          <w:rFonts w:hint="eastAsia" w:ascii="仿宋_GB2312" w:hAnsi="仿宋_GB2312"/>
          <w:lang w:val="en-US" w:eastAsia="zh-CN"/>
        </w:rPr>
        <w:t>有关法律法规执行</w:t>
      </w:r>
      <w:r>
        <w:rPr>
          <w:rFonts w:hint="eastAsia" w:ascii="仿宋_GB2312" w:hAnsi="仿宋_GB2312"/>
        </w:rPr>
        <w:t>。</w:t>
      </w:r>
    </w:p>
    <w:p w14:paraId="229652E3">
      <w:pPr>
        <w:pStyle w:val="12"/>
        <w:keepNext w:val="0"/>
        <w:keepLines w:val="0"/>
        <w:pageBreakBefore w:val="0"/>
        <w:widowControl w:val="0"/>
        <w:kinsoku/>
        <w:wordWrap/>
        <w:overflowPunct/>
        <w:topLinePunct w:val="0"/>
        <w:bidi w:val="0"/>
        <w:snapToGrid/>
        <w:spacing w:line="600" w:lineRule="exact"/>
        <w:ind w:firstLine="628"/>
        <w:textAlignment w:val="auto"/>
        <w:rPr>
          <w:rFonts w:hint="eastAsia" w:ascii="仿宋_GB2312" w:hAnsi="仿宋_GB2312"/>
        </w:rPr>
      </w:pPr>
      <w:r>
        <w:rPr>
          <w:rFonts w:hint="eastAsia" w:ascii="楷体_GB2312" w:hAnsi="楷体_GB2312" w:eastAsia="楷体_GB2312" w:cs="楷体_GB2312"/>
        </w:rPr>
        <w:t>第二十</w:t>
      </w:r>
      <w:r>
        <w:rPr>
          <w:rFonts w:hint="eastAsia" w:ascii="楷体_GB2312" w:hAnsi="楷体_GB2312" w:eastAsia="楷体_GB2312" w:cs="楷体_GB2312"/>
          <w:lang w:val="en-US" w:eastAsia="zh-CN"/>
        </w:rPr>
        <w:t>二</w:t>
      </w:r>
      <w:r>
        <w:rPr>
          <w:rFonts w:hint="eastAsia" w:ascii="楷体_GB2312" w:hAnsi="楷体_GB2312" w:eastAsia="楷体_GB2312" w:cs="楷体_GB2312"/>
        </w:rPr>
        <w:t xml:space="preserve">条  </w:t>
      </w:r>
      <w:r>
        <w:rPr>
          <w:rFonts w:hint="eastAsia" w:ascii="仿宋_GB2312" w:hAnsi="仿宋_GB2312"/>
        </w:rPr>
        <w:t>本细则自印发之日起试行，试行期2年。</w:t>
      </w:r>
    </w:p>
    <w:bookmarkEnd w:id="0"/>
    <w:p w14:paraId="302DBB58">
      <w:pPr>
        <w:pStyle w:val="12"/>
        <w:ind w:left="0" w:leftChars="0" w:firstLine="0" w:firstLineChars="0"/>
      </w:pPr>
    </w:p>
    <w:sectPr>
      <w:footerReference r:id="rId3" w:type="default"/>
      <w:footerReference r:id="rId4" w:type="even"/>
      <w:pgSz w:w="11905" w:h="16840"/>
      <w:pgMar w:top="2098" w:right="1474" w:bottom="1984" w:left="1587" w:header="851" w:footer="1417"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等线">
    <w:panose1 w:val="02010600030101010101"/>
    <w:charset w:val="86"/>
    <w:family w:val="auto"/>
    <w:pitch w:val="default"/>
    <w:sig w:usb0="A00002BF" w:usb1="38CF7CFA" w:usb2="00000016" w:usb3="00000000" w:csb0="0004000F" w:csb1="00000000"/>
  </w:font>
  <w:font w:name="方正小标宋_GBK">
    <w:panose1 w:val="02000000000000000000"/>
    <w:charset w:val="86"/>
    <w:family w:val="auto"/>
    <w:pitch w:val="default"/>
    <w:sig w:usb0="A00002BF" w:usb1="38CF7CFA" w:usb2="00082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67A3E">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00848383">
                          <w:pPr>
                            <w:pStyle w:val="14"/>
                            <w:rPr>
                              <w:rFonts w:hint="eastAsia"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vert="horz" wrap="none" lIns="203200" tIns="0" rIns="203200" bIns="0" anchor="t" anchorCtr="0">
                      <a:spAutoFit/>
                    </wps:bodyPr>
                  </wps:wsp>
                </a:graphicData>
              </a:graphic>
            </wp:anchor>
          </w:drawing>
        </mc:Choice>
        <mc:Fallback>
          <w:pict>
            <v:shape id="文本框 5"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MS+OZdEAAAAGAQAADwAA&#10;AAAAAAABACAAAAAiAAAAZHJzL2Rvd25yZXYueG1sUEsBAhQAFAAAAAgAh07iQN6/iznkAQAAxQMA&#10;AA4AAAAAAAAAAQAgAAAAIAEAAGRycy9lMm9Eb2MueG1sUEsFBgAAAAAGAAYAWQEAAHYFAAAAAA==&#10;">
              <v:fill on="f" focussize="0,0"/>
              <v:stroke on="f"/>
              <v:imagedata o:title=""/>
              <o:lock v:ext="edit" aspectratio="f"/>
              <v:textbox inset="16pt,0mm,16pt,0mm" style="mso-fit-shape-to-text:t;">
                <w:txbxContent>
                  <w:p w14:paraId="00848383">
                    <w:pPr>
                      <w:pStyle w:val="14"/>
                      <w:rPr>
                        <w:rFonts w:hint="eastAsia"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2E19F">
    <w:pPr>
      <w:pStyle w:val="14"/>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39C6F586">
                          <w:pPr>
                            <w:pStyle w:val="14"/>
                            <w:rPr>
                              <w:rFonts w:hint="eastAsia"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vert="horz" wrap="none" lIns="203200" tIns="0" rIns="203200" bIns="0" anchor="t" anchorCtr="0">
                      <a:spAutoFit/>
                    </wps:bodyPr>
                  </wps:wsp>
                </a:graphicData>
              </a:graphic>
            </wp:anchor>
          </w:drawing>
        </mc:Choice>
        <mc:Fallback>
          <w:pict>
            <v:shape id="文本框 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DEvjmXRAAAABgEAAA8A&#10;AAAAAAAAAQAgAAAAIgAAAGRycy9kb3ducmV2LnhtbFBLAQIUABQAAAAIAIdO4kC70L4c5QEAAMUD&#10;AAAOAAAAAAAAAAEAIAAAACABAABkcnMvZTJvRG9jLnhtbFBLBQYAAAAABgAGAFkBAAB3BQAAAAA=&#10;">
              <v:fill on="f" focussize="0,0"/>
              <v:stroke on="f"/>
              <v:imagedata o:title=""/>
              <o:lock v:ext="edit" aspectratio="f"/>
              <v:textbox inset="16pt,0mm,16pt,0mm" style="mso-fit-shape-to-text:t;">
                <w:txbxContent>
                  <w:p w14:paraId="39C6F586">
                    <w:pPr>
                      <w:pStyle w:val="14"/>
                      <w:rPr>
                        <w:rFonts w:hint="eastAsia"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B8461C"/>
    <w:multiLevelType w:val="singleLevel"/>
    <w:tmpl w:val="15B8461C"/>
    <w:lvl w:ilvl="0" w:tentative="0">
      <w:start w:val="1"/>
      <w:numFmt w:val="taiwaneseCounting"/>
      <w:suff w:val="space"/>
      <w:lvlText w:val="第%1章"/>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evenAndOddHeaders w:val="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0EC"/>
    <w:rsid w:val="0007248A"/>
    <w:rsid w:val="00085074"/>
    <w:rsid w:val="0014611E"/>
    <w:rsid w:val="00151DD6"/>
    <w:rsid w:val="001A74B3"/>
    <w:rsid w:val="002153E6"/>
    <w:rsid w:val="00231E83"/>
    <w:rsid w:val="00270893"/>
    <w:rsid w:val="002E12E0"/>
    <w:rsid w:val="003B1EAB"/>
    <w:rsid w:val="004A56B9"/>
    <w:rsid w:val="005C53EC"/>
    <w:rsid w:val="006030EC"/>
    <w:rsid w:val="006119AB"/>
    <w:rsid w:val="006B6F32"/>
    <w:rsid w:val="007626B0"/>
    <w:rsid w:val="00771616"/>
    <w:rsid w:val="007A44D3"/>
    <w:rsid w:val="007B2783"/>
    <w:rsid w:val="008520EC"/>
    <w:rsid w:val="008C4758"/>
    <w:rsid w:val="008D615A"/>
    <w:rsid w:val="00914E47"/>
    <w:rsid w:val="00934231"/>
    <w:rsid w:val="009467CF"/>
    <w:rsid w:val="00996E1B"/>
    <w:rsid w:val="009C0283"/>
    <w:rsid w:val="00B75371"/>
    <w:rsid w:val="00BE4BFB"/>
    <w:rsid w:val="00C80A28"/>
    <w:rsid w:val="00DC2AB2"/>
    <w:rsid w:val="00E90E5A"/>
    <w:rsid w:val="00EC3D92"/>
    <w:rsid w:val="00F22CF5"/>
    <w:rsid w:val="00F65300"/>
    <w:rsid w:val="01C419B3"/>
    <w:rsid w:val="056D52E8"/>
    <w:rsid w:val="08B253D3"/>
    <w:rsid w:val="09A81CAC"/>
    <w:rsid w:val="142248DD"/>
    <w:rsid w:val="1833416F"/>
    <w:rsid w:val="1ADC7899"/>
    <w:rsid w:val="1BC51582"/>
    <w:rsid w:val="1E077BDA"/>
    <w:rsid w:val="1F5F3A9B"/>
    <w:rsid w:val="20796B71"/>
    <w:rsid w:val="20AB57B6"/>
    <w:rsid w:val="229D6E91"/>
    <w:rsid w:val="237A41C3"/>
    <w:rsid w:val="23D20CE0"/>
    <w:rsid w:val="24D72D75"/>
    <w:rsid w:val="2AB253C7"/>
    <w:rsid w:val="2EB51D00"/>
    <w:rsid w:val="30246A4D"/>
    <w:rsid w:val="32A95302"/>
    <w:rsid w:val="36941E25"/>
    <w:rsid w:val="3B0932AE"/>
    <w:rsid w:val="3E391B6B"/>
    <w:rsid w:val="3E5C76CC"/>
    <w:rsid w:val="4A3568B2"/>
    <w:rsid w:val="4FFB6D9E"/>
    <w:rsid w:val="53D578AD"/>
    <w:rsid w:val="5486149E"/>
    <w:rsid w:val="56352885"/>
    <w:rsid w:val="56760C41"/>
    <w:rsid w:val="5719348C"/>
    <w:rsid w:val="5CC91F79"/>
    <w:rsid w:val="5E177799"/>
    <w:rsid w:val="61302BB2"/>
    <w:rsid w:val="62895A3D"/>
    <w:rsid w:val="63867EB2"/>
    <w:rsid w:val="63B84AF5"/>
    <w:rsid w:val="677B6565"/>
    <w:rsid w:val="6D513FF0"/>
    <w:rsid w:val="74AC5FB0"/>
    <w:rsid w:val="750C6A4F"/>
    <w:rsid w:val="7A952350"/>
    <w:rsid w:val="7B364826"/>
    <w:rsid w:val="7C767E6B"/>
    <w:rsid w:val="7E343F23"/>
    <w:rsid w:val="7F7D12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lang w:val="en-US" w:eastAsia="zh-CN" w:bidi="ar-SA"/>
    </w:rPr>
  </w:style>
  <w:style w:type="paragraph" w:styleId="2">
    <w:name w:val="heading 1"/>
    <w:next w:val="1"/>
    <w:qFormat/>
    <w:uiPriority w:val="0"/>
    <w:pPr>
      <w:keepNext/>
      <w:keepLines/>
      <w:spacing w:line="560" w:lineRule="exact"/>
      <w:ind w:firstLine="894" w:firstLineChars="200"/>
      <w:outlineLvl w:val="0"/>
    </w:pPr>
    <w:rPr>
      <w:rFonts w:ascii="黑体" w:hAnsi="黑体" w:eastAsia="黑体" w:cs="黑体"/>
      <w:kern w:val="44"/>
      <w:sz w:val="32"/>
      <w:szCs w:val="32"/>
      <w:lang w:val="en-US" w:eastAsia="zh-CN" w:bidi="ar-SA"/>
    </w:rPr>
  </w:style>
  <w:style w:type="paragraph" w:styleId="3">
    <w:name w:val="heading 2"/>
    <w:next w:val="1"/>
    <w:link w:val="27"/>
    <w:semiHidden/>
    <w:unhideWhenUsed/>
    <w:qFormat/>
    <w:uiPriority w:val="0"/>
    <w:pPr>
      <w:keepNext/>
      <w:keepLines/>
      <w:spacing w:line="560" w:lineRule="exact"/>
      <w:ind w:firstLine="894" w:firstLineChars="200"/>
      <w:outlineLvl w:val="1"/>
    </w:pPr>
    <w:rPr>
      <w:rFonts w:ascii="Times New Roman" w:hAnsi="Times New Roman" w:eastAsia="楷体_GB2312" w:cs="楷体_GB2312"/>
      <w:sz w:val="32"/>
      <w:szCs w:val="32"/>
      <w:lang w:val="en-US" w:eastAsia="zh-CN" w:bidi="ar-SA"/>
    </w:rPr>
  </w:style>
  <w:style w:type="paragraph" w:styleId="4">
    <w:name w:val="heading 3"/>
    <w:next w:val="1"/>
    <w:semiHidden/>
    <w:unhideWhenUsed/>
    <w:qFormat/>
    <w:uiPriority w:val="0"/>
    <w:pPr>
      <w:keepNext/>
      <w:keepLines/>
      <w:spacing w:line="560" w:lineRule="exact"/>
      <w:ind w:firstLine="894" w:firstLineChars="200"/>
      <w:outlineLvl w:val="2"/>
    </w:pPr>
    <w:rPr>
      <w:rFonts w:ascii="Times New Roman" w:hAnsi="Times New Roman" w:eastAsia="仿宋_GB2312" w:cs="仿宋_GB2312"/>
      <w:sz w:val="32"/>
      <w:szCs w:val="32"/>
      <w:lang w:val="en-US" w:eastAsia="zh-CN" w:bidi="ar-SA"/>
    </w:rPr>
  </w:style>
  <w:style w:type="paragraph" w:styleId="5">
    <w:name w:val="heading 4"/>
    <w:next w:val="1"/>
    <w:semiHidden/>
    <w:unhideWhenUsed/>
    <w:qFormat/>
    <w:uiPriority w:val="0"/>
    <w:pPr>
      <w:keepNext/>
      <w:keepLines/>
      <w:spacing w:line="560" w:lineRule="exact"/>
      <w:ind w:firstLine="894" w:firstLineChars="200"/>
      <w:outlineLvl w:val="3"/>
    </w:pPr>
    <w:rPr>
      <w:rFonts w:ascii="Times New Roman" w:hAnsi="Times New Roman" w:eastAsia="仿宋_GB2312" w:cs="仿宋_GB2312"/>
      <w:sz w:val="32"/>
      <w:szCs w:val="32"/>
      <w:lang w:val="en-US" w:eastAsia="zh-CN" w:bidi="ar-SA"/>
    </w:rPr>
  </w:style>
  <w:style w:type="paragraph" w:styleId="6">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lang w:val="en-US" w:eastAsia="zh-CN" w:bidi="ar-SA"/>
    </w:rPr>
  </w:style>
  <w:style w:type="paragraph" w:styleId="7">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lang w:val="en-US" w:eastAsia="zh-CN" w:bidi="ar-SA"/>
    </w:rPr>
  </w:style>
  <w:style w:type="paragraph" w:styleId="8">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lang w:val="en-US" w:eastAsia="zh-CN" w:bidi="ar-SA"/>
    </w:rPr>
  </w:style>
  <w:style w:type="paragraph" w:styleId="9">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lang w:val="en-US" w:eastAsia="zh-CN" w:bidi="ar-SA"/>
    </w:rPr>
  </w:style>
  <w:style w:type="paragraph" w:styleId="10">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lang w:val="en-US" w:eastAsia="zh-CN" w:bidi="ar-SA"/>
    </w:rPr>
  </w:style>
  <w:style w:type="character" w:default="1" w:styleId="21">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qFormat/>
    <w:uiPriority w:val="0"/>
    <w:pPr>
      <w:jc w:val="left"/>
    </w:pPr>
  </w:style>
  <w:style w:type="paragraph" w:styleId="12">
    <w:name w:val="Body Text"/>
    <w:basedOn w:val="1"/>
    <w:link w:val="25"/>
    <w:qFormat/>
    <w:uiPriority w:val="0"/>
    <w:pPr>
      <w:spacing w:line="560" w:lineRule="exact"/>
      <w:ind w:firstLine="630" w:firstLineChars="200"/>
    </w:pPr>
    <w:rPr>
      <w:rFonts w:ascii="Times New Roman" w:hAnsi="Times New Roman" w:eastAsia="仿宋_GB2312" w:cs="仿宋_GB2312"/>
      <w:spacing w:val="-6"/>
      <w:sz w:val="32"/>
      <w:szCs w:val="32"/>
    </w:rPr>
  </w:style>
  <w:style w:type="paragraph" w:styleId="13">
    <w:name w:val="Body Text Indent"/>
    <w:basedOn w:val="1"/>
    <w:link w:val="30"/>
    <w:qFormat/>
    <w:uiPriority w:val="0"/>
    <w:pPr>
      <w:spacing w:after="120"/>
      <w:ind w:left="420" w:leftChars="200"/>
    </w:pPr>
  </w:style>
  <w:style w:type="paragraph" w:styleId="14">
    <w:name w:val="footer"/>
    <w:basedOn w:val="1"/>
    <w:qFormat/>
    <w:uiPriority w:val="0"/>
    <w:pPr>
      <w:tabs>
        <w:tab w:val="center" w:pos="4153"/>
        <w:tab w:val="right" w:pos="8306"/>
      </w:tabs>
      <w:snapToGrid w:val="0"/>
      <w:jc w:val="left"/>
    </w:pPr>
    <w:rPr>
      <w:sz w:val="18"/>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6">
    <w:name w:val="Subtitle"/>
    <w:qFormat/>
    <w:uiPriority w:val="0"/>
    <w:pPr>
      <w:spacing w:line="720" w:lineRule="exact"/>
      <w:jc w:val="center"/>
    </w:pPr>
    <w:rPr>
      <w:rFonts w:ascii="Times New Roman" w:hAnsi="Times New Roman" w:eastAsia="仿宋_GB2312" w:cs="仿宋_GB2312"/>
      <w:kern w:val="28"/>
      <w:sz w:val="32"/>
      <w:szCs w:val="32"/>
      <w:lang w:val="en-US" w:eastAsia="zh-CN" w:bidi="ar-SA"/>
    </w:rPr>
  </w:style>
  <w:style w:type="paragraph" w:styleId="17">
    <w:name w:val="Normal (Web)"/>
    <w:basedOn w:val="1"/>
    <w:qFormat/>
    <w:uiPriority w:val="99"/>
    <w:pPr>
      <w:spacing w:beforeAutospacing="1" w:afterAutospacing="1"/>
      <w:jc w:val="left"/>
    </w:pPr>
    <w:rPr>
      <w:rFonts w:cs="Times New Roman"/>
      <w:sz w:val="24"/>
    </w:rPr>
  </w:style>
  <w:style w:type="paragraph" w:styleId="18">
    <w:name w:val="Title"/>
    <w:qFormat/>
    <w:uiPriority w:val="0"/>
    <w:pPr>
      <w:spacing w:line="720" w:lineRule="exact"/>
      <w:jc w:val="center"/>
    </w:pPr>
    <w:rPr>
      <w:rFonts w:ascii="方正小标宋简体" w:hAnsi="方正小标宋简体" w:eastAsia="方正小标宋简体" w:cs="方正小标宋简体"/>
      <w:sz w:val="44"/>
      <w:szCs w:val="44"/>
      <w:lang w:val="en-US" w:eastAsia="zh-CN" w:bidi="ar-SA"/>
    </w:rPr>
  </w:style>
  <w:style w:type="paragraph" w:styleId="19">
    <w:name w:val="Body Text First Indent 2"/>
    <w:basedOn w:val="13"/>
    <w:link w:val="31"/>
    <w:unhideWhenUsed/>
    <w:qFormat/>
    <w:uiPriority w:val="0"/>
    <w:pPr>
      <w:ind w:firstLine="420" w:firstLineChars="200"/>
    </w:pPr>
    <w:rPr>
      <w:rFonts w:ascii="Calibri" w:hAnsi="Calibri" w:eastAsia="宋体" w:cs="Times New Roman"/>
      <w:kern w:val="2"/>
      <w:szCs w:val="24"/>
    </w:rPr>
  </w:style>
  <w:style w:type="paragraph" w:customStyle="1" w:styleId="22">
    <w:name w:val="主送对象"/>
    <w:next w:val="1"/>
    <w:qFormat/>
    <w:uiPriority w:val="0"/>
    <w:pPr>
      <w:spacing w:line="560" w:lineRule="exact"/>
    </w:pPr>
    <w:rPr>
      <w:rFonts w:ascii="Times New Roman" w:hAnsi="Times New Roman" w:eastAsia="仿宋_GB2312" w:cs="仿宋_GB2312"/>
      <w:sz w:val="32"/>
      <w:szCs w:val="32"/>
      <w:lang w:val="en-US" w:eastAsia="zh-CN" w:bidi="ar-SA"/>
    </w:rPr>
  </w:style>
  <w:style w:type="paragraph" w:customStyle="1" w:styleId="23">
    <w:name w:val="附录标题"/>
    <w:next w:val="1"/>
    <w:qFormat/>
    <w:uiPriority w:val="0"/>
    <w:pPr>
      <w:overflowPunct w:val="0"/>
      <w:topLinePunct/>
      <w:spacing w:line="560" w:lineRule="exact"/>
      <w:outlineLvl w:val="0"/>
    </w:pPr>
    <w:rPr>
      <w:rFonts w:ascii="黑体" w:hAnsi="黑体" w:eastAsia="黑体" w:cs="黑体"/>
      <w:sz w:val="32"/>
      <w:szCs w:val="32"/>
      <w:lang w:val="en-US" w:eastAsia="zh-CN" w:bidi="ar-SA"/>
    </w:rPr>
  </w:style>
  <w:style w:type="character" w:customStyle="1" w:styleId="24">
    <w:name w:val="标题 2 Char"/>
    <w:qFormat/>
    <w:uiPriority w:val="0"/>
    <w:rPr>
      <w:rFonts w:ascii="Times New Roman" w:hAnsi="Times New Roman" w:eastAsia="楷体_GB2312" w:cs="楷体_GB2312"/>
      <w:sz w:val="32"/>
      <w:szCs w:val="32"/>
    </w:rPr>
  </w:style>
  <w:style w:type="character" w:customStyle="1" w:styleId="25">
    <w:name w:val="正文文本 字符"/>
    <w:link w:val="12"/>
    <w:qFormat/>
    <w:uiPriority w:val="0"/>
    <w:rPr>
      <w:rFonts w:ascii="Times New Roman" w:hAnsi="Times New Roman" w:eastAsia="等线" w:cs="等线"/>
      <w:spacing w:val="-6"/>
      <w:sz w:val="32"/>
      <w:szCs w:val="32"/>
    </w:rPr>
  </w:style>
  <w:style w:type="character" w:customStyle="1" w:styleId="26">
    <w:name w:val="标题 2 Char1"/>
    <w:qFormat/>
    <w:uiPriority w:val="0"/>
    <w:rPr>
      <w:rFonts w:ascii="Times New Roman" w:hAnsi="Times New Roman" w:eastAsia="楷体_GB2312" w:cs="楷体_GB2312"/>
      <w:sz w:val="32"/>
      <w:szCs w:val="32"/>
    </w:rPr>
  </w:style>
  <w:style w:type="character" w:customStyle="1" w:styleId="27">
    <w:name w:val="标题 2 字符"/>
    <w:link w:val="3"/>
    <w:qFormat/>
    <w:uiPriority w:val="0"/>
    <w:rPr>
      <w:rFonts w:ascii="Times New Roman" w:hAnsi="Times New Roman" w:eastAsia="楷体_GB2312" w:cs="楷体_GB2312"/>
      <w:sz w:val="32"/>
      <w:szCs w:val="32"/>
    </w:rPr>
  </w:style>
  <w:style w:type="paragraph" w:customStyle="1" w:styleId="28">
    <w:name w:val="Default"/>
    <w:next w:val="1"/>
    <w:qFormat/>
    <w:uiPriority w:val="0"/>
    <w:pPr>
      <w:widowControl w:val="0"/>
      <w:autoSpaceDE w:val="0"/>
      <w:autoSpaceDN w:val="0"/>
      <w:adjustRightInd w:val="0"/>
    </w:pPr>
    <w:rPr>
      <w:rFonts w:asciiTheme="minorHAnsi" w:hAnsiTheme="minorHAnsi" w:eastAsiaTheme="minorEastAsia" w:cstheme="minorBidi"/>
      <w:color w:val="000000"/>
      <w:sz w:val="24"/>
      <w:szCs w:val="24"/>
      <w:lang w:val="en-US" w:eastAsia="zh-CN" w:bidi="ar-SA"/>
    </w:rPr>
  </w:style>
  <w:style w:type="paragraph" w:customStyle="1" w:styleId="29">
    <w:name w:val="章标题"/>
    <w:next w:val="1"/>
    <w:qFormat/>
    <w:uiPriority w:val="0"/>
    <w:pPr>
      <w:widowControl w:val="0"/>
      <w:spacing w:line="560" w:lineRule="exact"/>
      <w:jc w:val="center"/>
      <w:outlineLvl w:val="0"/>
    </w:pPr>
    <w:rPr>
      <w:rFonts w:ascii="黑体" w:hAnsi="黑体" w:eastAsia="黑体" w:cs="黑体"/>
      <w:bCs/>
      <w:spacing w:val="-6"/>
      <w:kern w:val="44"/>
      <w:sz w:val="32"/>
      <w:szCs w:val="32"/>
      <w:lang w:val="en-US" w:eastAsia="zh-CN" w:bidi="ar-SA"/>
    </w:rPr>
  </w:style>
  <w:style w:type="character" w:customStyle="1" w:styleId="30">
    <w:name w:val="正文文本缩进 字符"/>
    <w:basedOn w:val="21"/>
    <w:link w:val="13"/>
    <w:qFormat/>
    <w:uiPriority w:val="0"/>
    <w:rPr>
      <w:sz w:val="21"/>
      <w:szCs w:val="22"/>
    </w:rPr>
  </w:style>
  <w:style w:type="character" w:customStyle="1" w:styleId="31">
    <w:name w:val="正文文本首行缩进 2 字符"/>
    <w:basedOn w:val="30"/>
    <w:link w:val="19"/>
    <w:qFormat/>
    <w:uiPriority w:val="0"/>
    <w:rPr>
      <w:rFonts w:ascii="Calibri" w:hAnsi="Calibri" w:eastAsia="宋体" w:cs="Times New Roman"/>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19aedf8b-368f-45c0-886e-9fde7c1d0f29</errorID>
      <errorWord>，</errorWord>
      <group>L1_Punc</group>
      <groupName>标点问题</groupName>
      <ability>L2_Punc_CN</ability>
      <abilityName>标点符号问题</abilityName>
      <candidateList>
        <item>；</item>
      </candidateList>
      <explain/>
      <paraID>68E27067</paraID>
      <start>95</start>
      <end>96</end>
      <status>ignored</status>
      <modifiedWord/>
      <trackRevisions>false</trackRevisions>
    </reviewItem>
    <reviewItem>
      <errorID>18a90394-e976-40d8-9038-1ce0f362b027</errorID>
      <errorWord>。</errorWord>
      <group>L1_Punc</group>
      <groupName>标点问题</groupName>
      <ability>L2_Punc_CN</ability>
      <abilityName>标点符号问题</abilityName>
      <candidateList>
        <item>，</item>
      </candidateList>
      <explain/>
      <paraID>5D4DFB56</paraID>
      <start>68</start>
      <end>69</end>
      <status>modified</status>
      <modifiedWord>，</modifiedWord>
      <trackRevisions>false</trackRevisions>
    </reviewItem>
    <reviewItem>
      <errorID>88ec6c84-cd27-4796-8391-bf116a0572d8</errorID>
      <errorWord>公开招标失败后拟采用单一来源方式方式</errorWord>
      <group>L1_Other</group>
      <groupName>其他问题</groupName>
      <ability>L2_Consistency</ability>
      <abilityName>一致性检查</abilityName>
      <candidateList>
        <item>公开招标失败后拟采用单一来源方式</item>
      </candidateList>
      <explain>术语一致性，原文此处表述重复冗余，与全文对单一来源采购方式的统一表述不一致</explain>
      <paraID>  DF4417</paraID>
      <start>66</start>
      <end>82</end>
      <status>modified</status>
      <modifiedWord>公开招标失败后拟采用单一来源方式</modifiedWord>
      <trackRevisions>false</trackRevisions>
    </reviewItem>
    <reviewItem>
      <errorID>11d36822-a21b-4b3e-9777-3fe19c10fa12</errorID>
      <errorWord>,</errorWord>
      <group>L1_Format</group>
      <groupName>格式问题</groupName>
      <ability>L2_HalfPunc_CN</ability>
      <abilityName>全半角问题</abilityName>
      <candidateList>
        <item>，</item>
      </candidateList>
      <explain>文本全半角错误。</explain>
      <paraID>75040C05</paraID>
      <start>76</start>
      <end>77</end>
      <status>modified</status>
      <modifiedWord>，</modifiedWord>
      <trackRevisions>false</trackRevisions>
    </reviewItem>
    <reviewItem>
      <errorID>7c8a599f-f828-4347-8f14-ef49885ee853</errorID>
      <errorWord>，</errorWord>
      <group>L1_Word</group>
      <groupName>字词问题</groupName>
      <ability>L2_Typo</ability>
      <abilityName>字词错误</abilityName>
      <candidateList>
        <item>，以</item>
      </candidateList>
      <explain/>
      <paraID>651E176D</paraID>
      <start>27</start>
      <end>29</end>
      <status>modified</status>
      <modifiedWord>，以</modifiedWord>
      <trackRevisions>false</trackRevisions>
    </reviewItem>
    <reviewItem>
      <errorID>27b28ae7-e714-4c91-bfd8-f9b1177751d7</errorID>
      <errorWord>，</errorWord>
      <group>L1_Grammar</group>
      <groupName>语法问题</groupName>
      <ability>L2_Grammar</ability>
      <abilityName>语法错误</abilityName>
      <candidateList>
        <item>质疑，</item>
      </candidateList>
      <explain/>
      <paraID>5207CB62</paraID>
      <start>28</start>
      <end>31</end>
      <status>modified</status>
      <modifiedWord>质疑，</modifiedWord>
      <trackRevisions>false</trackRevisions>
    </reviewItem>
    <reviewItem>
      <errorID>0ad1f4e9-266a-4089-b436-e5d85e313884</errorID>
      <errorWord>供应商</errorWord>
      <group>L1_Word</group>
      <groupName>字词问题</groupName>
      <ability>L2_Typo</ability>
      <abilityName>字词错误</abilityName>
      <candidateList>
        <item>的供应商</item>
      </candidateList>
      <explain/>
      <paraID>24512674</paraID>
      <start>36</start>
      <end>40</end>
      <status>modified</status>
      <modifiedWord>的供应商</modifiedWord>
      <trackRevisions>false</trackRevisions>
    </reviewItem>
    <reviewItem>
      <errorID>5047330b-ad4a-4100-8b33-6229baebb511</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24512674</paraID>
      <start>64</start>
      <end>66</end>
      <status>modified</status>
      <modifiedWord>质疑</modifiedWord>
      <trackRevisions>false</trackRevisions>
    </reviewItem>
    <reviewItem>
      <errorID>99ea2abf-4dad-41c2-a466-c5008842bd6f</errorID>
      <errorWord>投标人</errorWord>
      <group>L1_Word</group>
      <groupName>字词问题</groupName>
      <ability>L2_Typo</ability>
      <abilityName>字词错误</abilityName>
      <candidateList>
        <item>采购人</item>
      </candidateList>
      <explain/>
      <paraID>199B0C28</paraID>
      <start>3</start>
      <end>6</end>
      <status>ignored</status>
      <modifiedWord/>
      <trackRevisions>false</trackRevisions>
    </reviewItem>
    <reviewItem>
      <errorID>45ecefc8-022c-4868-bbd2-2b44bd621f90</errorID>
      <errorWord>“一网通办</errorWord>
      <group>L1_Political</group>
      <groupName>政治性问题</groupName>
      <ability>L2_Unpolitical</ability>
      <abilityName>政治敏感错误</abilityName>
      <candidateList>
        <item>‘一网通办’</item>
      </candidateList>
      <explain/>
      <paraID>48539C7A</paraID>
      <start>89</start>
      <end>94</end>
      <status>ignored</status>
      <modifiedWord/>
      <trackRevisions>false</trackRevisions>
    </reviewItem>
    <reviewItem>
      <errorID>29e5de1a-6e4e-42d3-b2e4-06a895377959</errorID>
      <errorWord>法律、法规执行</errorWord>
      <group>L1_Word</group>
      <groupName>字词问题</groupName>
      <ability>L2_Typo</ability>
      <abilityName>字词错误</abilityName>
      <candidateList>
        <item>法律法规执行</item>
      </candidateList>
      <explain/>
      <paraID>199FCD5E</paraID>
      <start>21</start>
      <end>27</end>
      <status>modified</status>
      <modifiedWord>法律法规执行</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75c2461-bd36-414b-bf2a-4ce12173cbb5}">
  <ds:schemaRefs/>
</ds:datastoreItem>
</file>

<file path=docProps/app.xml><?xml version="1.0" encoding="utf-8"?>
<Properties xmlns="http://schemas.openxmlformats.org/officeDocument/2006/extended-properties" xmlns:vt="http://schemas.openxmlformats.org/officeDocument/2006/docPropsVTypes">
  <Template>Normal</Template>
  <Pages>14</Pages>
  <Words>6723</Words>
  <Characters>6802</Characters>
  <Lines>212</Lines>
  <Paragraphs>117</Paragraphs>
  <TotalTime>0</TotalTime>
  <ScaleCrop>false</ScaleCrop>
  <LinksUpToDate>false</LinksUpToDate>
  <CharactersWithSpaces>6870</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2026-10-11T14:09:00Z</dcterms:created>
  <dc:creator>Apache POI</dc:creator>
  <cp:lastModifiedBy>但行好事</cp:lastModifiedBy>
  <cp:lastPrinted>2026-10-08T02:03:00Z</cp:lastPrinted>
  <dcterms:modified xsi:type="dcterms:W3CDTF">2026-10-15T07:53:22Z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{"Label":"1","ContentProducer":"001191110102MACQD9K64010000","ProduceID":"7690401808035941333","ReservedCode1":"","ContentPropagator":"","PropagateID":"","ReservedCode2":""}</vt:lpwstr>
  </property>
  <property fmtid="{D5CDD505-2E9C-101B-9397-08002B2CF9AE}" pid="3" name="KSOTemplateDocerSaveRecord">
    <vt:lpwstr>eyJoZGlkIjoiY2MwODczMzE1OTMwYjJiZWQzNGUzY2YwNGY1Y2NmODMiLCJ1c2VySWQiOiIxNzY5ODgxNTAwIn0=</vt:lpwstr>
  </property>
  <property fmtid="{D5CDD505-2E9C-101B-9397-08002B2CF9AE}" pid="4" name="KSOProductBuildVer">
    <vt:lpwstr>2052-12.1.0.28022</vt:lpwstr>
  </property>
  <property fmtid="{D5CDD505-2E9C-101B-9397-08002B2CF9AE}" pid="5" name="ICV">
    <vt:lpwstr>D90AF0CC765E43F1B4857037A905C4B4_13</vt:lpwstr>
  </property>
</Properties>
</file>